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黑体" w:hAnsi="黑体" w:eastAsia="黑体" w:cs="宋体"/>
          <w:b/>
          <w:color w:val="FF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黑体" w:hAnsi="黑体" w:eastAsia="黑体" w:cs="宋体"/>
          <w:b/>
          <w:color w:val="FF0000"/>
          <w:kern w:val="0"/>
          <w:sz w:val="24"/>
          <w:szCs w:val="24"/>
        </w:rPr>
        <w:t>2021年世界阅读日粤港澳创作比赛</w:t>
      </w:r>
      <w:r>
        <w:rPr>
          <w:rFonts w:hint="eastAsia" w:ascii="黑体" w:hAnsi="黑体" w:eastAsia="黑体" w:cs="宋体"/>
          <w:b/>
          <w:color w:val="FF0000"/>
          <w:kern w:val="0"/>
          <w:sz w:val="24"/>
          <w:szCs w:val="24"/>
          <w:lang w:eastAsia="zh-CN"/>
        </w:rPr>
        <w:t>方案</w:t>
      </w:r>
    </w:p>
    <w:p>
      <w:pPr>
        <w:ind w:firstLine="2924" w:firstLineChars="1387"/>
        <w:rPr>
          <w:rFonts w:ascii="黑体" w:hAnsi="黑体" w:eastAsia="黑体" w:cs="宋体"/>
          <w:b/>
          <w:color w:val="FF0000"/>
          <w:kern w:val="0"/>
          <w:szCs w:val="21"/>
        </w:rPr>
      </w:pPr>
    </w:p>
    <w:p>
      <w:pPr>
        <w:ind w:firstLine="420" w:firstLineChars="200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主题：探索阅读新领域</w:t>
      </w:r>
      <w:bookmarkStart w:id="0" w:name="_GoBack"/>
      <w:bookmarkEnd w:id="0"/>
    </w:p>
    <w:p>
      <w:pPr>
        <w:ind w:firstLine="420" w:firstLineChars="20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内容：为鼓励儿童及青少年拓展阅读领域，深化阅读层次，用阅读开启知识大门，粤港澳三地举办2021年世界阅读日粤港澳创作比赛。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参赛细则</w:t>
      </w:r>
    </w:p>
    <w:tbl>
      <w:tblPr>
        <w:tblStyle w:val="6"/>
        <w:tblpPr w:leftFromText="180" w:rightFromText="180" w:vertAnchor="text" w:horzAnchor="page" w:tblpX="2111" w:tblpY="3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7"/>
        <w:gridCol w:w="411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组别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分主题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内容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评比标准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初小组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（小学一年级至三年级）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我的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图书天地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以水彩画的形式展现自己设计的图书天地。作品规格为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华文仿宋"/>
                <w:szCs w:val="21"/>
              </w:rPr>
              <w:t>A3尺寸(29.7cm x 42cm)，单面图画纸。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内容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创意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美感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高小组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（小学四年级至六年级）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阅读新鲜事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通过写信给家人、老师或朋友的形式，介绍并分享一本让你获得新鲜事物或新想法的书（300－400字）。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主题内容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文章创意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文章结构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ind w:firstLine="315" w:firstLineChars="150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初中组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（初中一年级至三年级）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“好书应该是</w:t>
            </w:r>
            <w:r>
              <w:rPr>
                <w:rFonts w:ascii="仿宋_GB2312" w:hAnsi="仿宋" w:eastAsia="仿宋_GB2312" w:cs="华文仿宋"/>
                <w:szCs w:val="21"/>
              </w:rPr>
              <w:t>……”</w:t>
            </w:r>
          </w:p>
        </w:tc>
        <w:tc>
          <w:tcPr>
            <w:tcW w:w="4111" w:type="dxa"/>
          </w:tcPr>
          <w:p>
            <w:pPr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自定文章题目，选取一本符合主题的书，以阅读报告的形式描述书中内容，并分享你的见解和感受（650－800字）。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主题内容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文章结构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表达能力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思考能力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高中组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（高中一年级至三年级）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阅读</w:t>
            </w:r>
          </w:p>
          <w:p>
            <w:pPr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新领域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自定文章题目，整合多项阅读资料，以散文的形式分享阅读如何让你开拓不同领域的过程和感受（1000－1200字）。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主题内容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文章结构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表达能力</w:t>
            </w:r>
          </w:p>
          <w:p>
            <w:pPr>
              <w:adjustRightInd w:val="0"/>
              <w:snapToGrid w:val="0"/>
              <w:ind w:left="42" w:leftChars="20"/>
              <w:jc w:val="center"/>
              <w:rPr>
                <w:rFonts w:ascii="仿宋_GB2312" w:hAnsi="仿宋" w:eastAsia="仿宋_GB2312" w:cs="华文仿宋"/>
                <w:szCs w:val="21"/>
              </w:rPr>
            </w:pPr>
            <w:r>
              <w:rPr>
                <w:rFonts w:hint="eastAsia" w:ascii="仿宋_GB2312" w:hAnsi="仿宋" w:eastAsia="仿宋_GB2312" w:cs="华文仿宋"/>
                <w:szCs w:val="21"/>
              </w:rPr>
              <w:t>思考能力</w:t>
            </w:r>
          </w:p>
        </w:tc>
      </w:tr>
    </w:tbl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（二）交稿事项</w:t>
      </w: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1.截稿日期：2021年3月5日</w:t>
      </w: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2.参赛作品必须是首发原作，曾发表、出版（含网络）、参加过其它评比活动的作品，不予评选。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3.初小组别只须提交纸质稿，其他组别须同时提交纸质稿与电子稿。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4.纸质稿邮寄地址：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CN"/>
        </w:rPr>
        <w:t>始兴县图书馆三楼办公室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5.电子稿投寄地址：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instrText xml:space="preserve"> HYPERLINK "mailto:sgsxtsg@163.com" </w:instrTex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separate"/>
      </w:r>
      <w:r>
        <w:rPr>
          <w:rStyle w:val="5"/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sgsxtsg</w:t>
      </w:r>
      <w:r>
        <w:rPr>
          <w:rStyle w:val="5"/>
          <w:rFonts w:hint="eastAsia" w:ascii="仿宋_GB2312" w:hAnsi="宋体" w:eastAsia="仿宋_GB2312" w:cs="宋体"/>
          <w:color w:val="000000"/>
          <w:kern w:val="0"/>
          <w:szCs w:val="21"/>
        </w:rPr>
        <w:t>@</w:t>
      </w:r>
      <w:r>
        <w:rPr>
          <w:rStyle w:val="5"/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163.com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end"/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6.联系人：卢粤群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7.联系电话：13411140112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（三）奖励办法</w:t>
      </w: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广东赛区设创作一等奖、二等奖、三等奖、优秀奖、优秀组织奖与优秀指导奖奖项。获奖单位与个人分别授予获奖证书；一等奖获200元奖品，二等奖获100元奖品，三等奖获50元奖品。一等奖作品将入选“2021年世界阅读日粤港澳创作比赛优秀作品展”，在粤港澳三地巡展。</w:t>
      </w: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咨询电话：0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751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-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3326952</w:t>
      </w:r>
    </w:p>
    <w:p>
      <w:pPr>
        <w:ind w:firstLine="525" w:firstLineChars="250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/>
    </w:p>
    <w:p>
      <w:pPr>
        <w:ind w:firstLine="420" w:firstLineChars="200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>
        <w:ind w:firstLine="420" w:firstLineChars="200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5204417">
    <w:nsid w:val="64722DC1"/>
    <w:multiLevelType w:val="multilevel"/>
    <w:tmpl w:val="64722DC1"/>
    <w:lvl w:ilvl="0" w:tentative="1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65" w:hanging="420"/>
      </w:pPr>
    </w:lvl>
    <w:lvl w:ilvl="2" w:tentative="1">
      <w:start w:val="1"/>
      <w:numFmt w:val="lowerRoman"/>
      <w:lvlText w:val="%3."/>
      <w:lvlJc w:val="righ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lowerLetter"/>
      <w:lvlText w:val="%5)"/>
      <w:lvlJc w:val="left"/>
      <w:pPr>
        <w:ind w:left="2625" w:hanging="420"/>
      </w:pPr>
    </w:lvl>
    <w:lvl w:ilvl="5" w:tentative="1">
      <w:start w:val="1"/>
      <w:numFmt w:val="lowerRoman"/>
      <w:lvlText w:val="%6."/>
      <w:lvlJc w:val="righ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lowerLetter"/>
      <w:lvlText w:val="%8)"/>
      <w:lvlJc w:val="left"/>
      <w:pPr>
        <w:ind w:left="3885" w:hanging="420"/>
      </w:pPr>
    </w:lvl>
    <w:lvl w:ilvl="8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685204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EE"/>
    <w:rsid w:val="001B7133"/>
    <w:rsid w:val="001D3440"/>
    <w:rsid w:val="002725F9"/>
    <w:rsid w:val="002C7F6B"/>
    <w:rsid w:val="003370E9"/>
    <w:rsid w:val="00346764"/>
    <w:rsid w:val="0037082B"/>
    <w:rsid w:val="00384EA8"/>
    <w:rsid w:val="004A29BA"/>
    <w:rsid w:val="005B4804"/>
    <w:rsid w:val="0060154F"/>
    <w:rsid w:val="00677BED"/>
    <w:rsid w:val="006B3B83"/>
    <w:rsid w:val="006C6708"/>
    <w:rsid w:val="009B1795"/>
    <w:rsid w:val="00AA18EE"/>
    <w:rsid w:val="00AE7FDC"/>
    <w:rsid w:val="00BB639E"/>
    <w:rsid w:val="00BE5BAB"/>
    <w:rsid w:val="00C7743D"/>
    <w:rsid w:val="00D53B67"/>
    <w:rsid w:val="00E35D2B"/>
    <w:rsid w:val="00E74349"/>
    <w:rsid w:val="00EB0276"/>
    <w:rsid w:val="00EB6652"/>
    <w:rsid w:val="00ED7BAA"/>
    <w:rsid w:val="00F122CF"/>
    <w:rsid w:val="00F16483"/>
    <w:rsid w:val="00F40034"/>
    <w:rsid w:val="00F61354"/>
    <w:rsid w:val="00F90281"/>
    <w:rsid w:val="030E1A73"/>
    <w:rsid w:val="0E4B6499"/>
    <w:rsid w:val="11BC23EF"/>
    <w:rsid w:val="391B52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124</Words>
  <Characters>709</Characters>
  <Lines>5</Lines>
  <Paragraphs>1</Paragraphs>
  <ScaleCrop>false</ScaleCrop>
  <LinksUpToDate>false</LinksUpToDate>
  <CharactersWithSpaces>832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2020-10-09T06:57:00Z</dcterms:created>
  <dc:creator>宋玲</dc:creator>
  <cp:lastModifiedBy>Administrator</cp:lastModifiedBy>
  <dcterms:modified xsi:type="dcterms:W3CDTF">2020-12-16T03:39:34Z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