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color w:val="000000"/>
          <w:kern w:val="0"/>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始兴县水务局</w:t>
      </w:r>
      <w:r>
        <w:rPr>
          <w:rFonts w:ascii="方正小标宋简体" w:hAnsi="方正小标宋简体" w:eastAsia="方正小标宋简体" w:cs="方正小标宋简体"/>
          <w:color w:val="000000"/>
          <w:kern w:val="0"/>
          <w:sz w:val="44"/>
          <w:szCs w:val="44"/>
        </w:rPr>
        <w:t>2021</w:t>
      </w:r>
      <w:r>
        <w:rPr>
          <w:rFonts w:hint="eastAsia" w:ascii="方正小标宋简体" w:hAnsi="方正小标宋简体" w:eastAsia="方正小标宋简体" w:cs="方正小标宋简体"/>
          <w:color w:val="000000"/>
          <w:kern w:val="0"/>
          <w:sz w:val="44"/>
          <w:szCs w:val="44"/>
        </w:rPr>
        <w:t>年度行政许可</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rPr>
        <w:t>实施和监督管理情况报告</w:t>
      </w: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县政务服务数据管理局：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根据《始兴县人民政府办公室关于报送</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年度行政许可实施和监督管理情况检查工作的通知》要求，现将我单位</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年度行政许可实施和监督管理情况报告如下：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kern w:val="0"/>
          <w:sz w:val="32"/>
          <w:szCs w:val="32"/>
        </w:rPr>
        <w:t>一、基本情况</w:t>
      </w:r>
      <w:r>
        <w:rPr>
          <w:rFonts w:ascii="仿宋_GB2312" w:hAnsi="仿宋_GB2312" w:eastAsia="仿宋_GB2312" w:cs="仿宋_GB2312"/>
          <w:color w:val="000000"/>
          <w:kern w:val="0"/>
          <w:sz w:val="32"/>
          <w:szCs w:val="32"/>
        </w:rPr>
        <w:t xml:space="preserve"> </w:t>
      </w:r>
    </w:p>
    <w:p>
      <w:pPr>
        <w:widowControl w:val="0"/>
        <w:ind w:firstLine="640" w:firstLineChars="200"/>
        <w:rPr>
          <w:rFonts w:ascii="仿宋_GB2312" w:hAnsi="Calibri" w:eastAsia="仿宋_GB2312"/>
          <w:sz w:val="32"/>
          <w:szCs w:val="32"/>
        </w:rPr>
      </w:pPr>
      <w:r>
        <w:rPr>
          <w:rFonts w:hint="eastAsia" w:ascii="仿宋_GB2312" w:hAnsi="Calibri" w:eastAsia="仿宋_GB2312"/>
          <w:sz w:val="32"/>
          <w:szCs w:val="32"/>
        </w:rPr>
        <w:t>（一）现有事项及办理情况。</w:t>
      </w:r>
      <w:r>
        <w:rPr>
          <w:rFonts w:ascii="仿宋_GB2312" w:hAnsi="Calibri" w:eastAsia="仿宋_GB2312"/>
          <w:sz w:val="32"/>
          <w:szCs w:val="32"/>
        </w:rPr>
        <w:t>2021</w:t>
      </w:r>
      <w:r>
        <w:rPr>
          <w:rFonts w:hint="eastAsia" w:ascii="仿宋_GB2312" w:hAnsi="Calibri" w:eastAsia="仿宋_GB2312"/>
          <w:sz w:val="32"/>
          <w:szCs w:val="32"/>
        </w:rPr>
        <w:t>年，本单位共承接上级下放行政许可事项</w:t>
      </w:r>
      <w:r>
        <w:rPr>
          <w:rFonts w:ascii="仿宋_GB2312" w:hAnsi="Calibri" w:eastAsia="仿宋_GB2312"/>
          <w:sz w:val="32"/>
          <w:szCs w:val="32"/>
        </w:rPr>
        <w:t>15</w:t>
      </w:r>
      <w:r>
        <w:rPr>
          <w:rFonts w:hint="eastAsia" w:ascii="仿宋_GB2312" w:hAnsi="Calibri" w:eastAsia="仿宋_GB2312"/>
          <w:sz w:val="32"/>
          <w:szCs w:val="32"/>
        </w:rPr>
        <w:t>项，名称分别为：</w:t>
      </w:r>
      <w:r>
        <w:rPr>
          <w:rFonts w:ascii="仿宋_GB2312" w:hAnsi="Calibri" w:eastAsia="仿宋_GB2312"/>
          <w:sz w:val="32"/>
          <w:szCs w:val="32"/>
        </w:rPr>
        <w:t>1</w:t>
      </w:r>
      <w:r>
        <w:rPr>
          <w:rFonts w:hint="eastAsia" w:ascii="仿宋_GB2312" w:hAnsi="Calibri" w:eastAsia="仿宋_GB2312"/>
          <w:sz w:val="32"/>
          <w:szCs w:val="32"/>
        </w:rPr>
        <w:t>、</w:t>
      </w:r>
      <w:bookmarkStart w:id="0" w:name="OLE_LINK1"/>
      <w:r>
        <w:rPr>
          <w:rFonts w:hint="eastAsia" w:ascii="仿宋_GB2312" w:hAnsi="Calibri" w:eastAsia="仿宋_GB2312"/>
          <w:sz w:val="32"/>
          <w:szCs w:val="32"/>
        </w:rPr>
        <w:t>水利工程管理和保护范围内新建、扩建、改建的工程建设项目方案审批</w:t>
      </w:r>
      <w:bookmarkEnd w:id="0"/>
      <w:r>
        <w:rPr>
          <w:rFonts w:hint="eastAsia" w:ascii="仿宋_GB2312" w:hAnsi="Calibri" w:eastAsia="仿宋_GB2312"/>
          <w:sz w:val="32"/>
          <w:szCs w:val="32"/>
        </w:rPr>
        <w:t>；</w:t>
      </w:r>
      <w:r>
        <w:rPr>
          <w:rFonts w:ascii="仿宋_GB2312" w:hAnsi="Calibri" w:eastAsia="仿宋_GB2312"/>
          <w:sz w:val="32"/>
          <w:szCs w:val="32"/>
        </w:rPr>
        <w:t>2</w:t>
      </w:r>
      <w:r>
        <w:rPr>
          <w:rFonts w:hint="eastAsia" w:ascii="仿宋_GB2312" w:hAnsi="Calibri" w:eastAsia="仿宋_GB2312"/>
          <w:sz w:val="32"/>
          <w:szCs w:val="32"/>
        </w:rPr>
        <w:t>、占用农业灌溉水源、灌排工程设施审批；</w:t>
      </w:r>
      <w:r>
        <w:rPr>
          <w:rFonts w:ascii="仿宋_GB2312" w:hAnsi="Calibri" w:eastAsia="仿宋_GB2312"/>
          <w:sz w:val="32"/>
          <w:szCs w:val="32"/>
        </w:rPr>
        <w:t>3</w:t>
      </w:r>
      <w:r>
        <w:rPr>
          <w:rFonts w:hint="eastAsia" w:ascii="仿宋_GB2312" w:hAnsi="Calibri" w:eastAsia="仿宋_GB2312"/>
          <w:sz w:val="32"/>
          <w:szCs w:val="32"/>
        </w:rPr>
        <w:t>、水利工程管理范围内的生产经营活动审批；</w:t>
      </w:r>
      <w:r>
        <w:rPr>
          <w:rFonts w:ascii="仿宋_GB2312" w:hAnsi="Calibri" w:eastAsia="仿宋_GB2312"/>
          <w:sz w:val="32"/>
          <w:szCs w:val="32"/>
        </w:rPr>
        <w:t>4</w:t>
      </w:r>
      <w:r>
        <w:rPr>
          <w:rFonts w:hint="eastAsia" w:ascii="仿宋_GB2312" w:hAnsi="Calibri" w:eastAsia="仿宋_GB2312"/>
          <w:sz w:val="32"/>
          <w:szCs w:val="32"/>
        </w:rPr>
        <w:t>、取水许可（其中包含子项：新增取水许可、延续取水许可、变更取水许可）；</w:t>
      </w:r>
      <w:r>
        <w:rPr>
          <w:rFonts w:ascii="仿宋_GB2312" w:hAnsi="Calibri" w:eastAsia="仿宋_GB2312"/>
          <w:sz w:val="32"/>
          <w:szCs w:val="32"/>
        </w:rPr>
        <w:t>5</w:t>
      </w:r>
      <w:r>
        <w:rPr>
          <w:rFonts w:hint="eastAsia" w:ascii="仿宋_GB2312" w:hAnsi="Calibri" w:eastAsia="仿宋_GB2312"/>
          <w:sz w:val="32"/>
          <w:szCs w:val="32"/>
        </w:rPr>
        <w:t>、生产建设项目水土保持方案审批（其中包含子项：区域水土保持评估、生产建设项目水土保持方案审批（企业投资类）、生产建设项目水土保持方案审批（政府投资、非盈利组织投资和个人投资类））；</w:t>
      </w:r>
      <w:r>
        <w:rPr>
          <w:rFonts w:ascii="仿宋_GB2312" w:hAnsi="Calibri" w:eastAsia="仿宋_GB2312"/>
          <w:sz w:val="32"/>
          <w:szCs w:val="32"/>
        </w:rPr>
        <w:t>6</w:t>
      </w:r>
      <w:r>
        <w:rPr>
          <w:rFonts w:hint="eastAsia" w:ascii="仿宋_GB2312" w:hAnsi="Calibri" w:eastAsia="仿宋_GB2312"/>
          <w:sz w:val="32"/>
          <w:szCs w:val="32"/>
        </w:rPr>
        <w:t>、洪水影响评价审批（其中包含子项：河道管理范围内建设项目工程建设方案审批、非防洪建设项目洪水影响评价报告审批、水工程建设规划同意书审核）；</w:t>
      </w:r>
      <w:r>
        <w:rPr>
          <w:rFonts w:ascii="仿宋_GB2312" w:hAnsi="Calibri" w:eastAsia="仿宋_GB2312"/>
          <w:sz w:val="32"/>
          <w:szCs w:val="32"/>
        </w:rPr>
        <w:t>7</w:t>
      </w:r>
      <w:r>
        <w:rPr>
          <w:rFonts w:hint="eastAsia" w:ascii="仿宋_GB2312" w:hAnsi="Calibri" w:eastAsia="仿宋_GB2312"/>
          <w:sz w:val="32"/>
          <w:szCs w:val="32"/>
        </w:rPr>
        <w:t>、</w:t>
      </w:r>
      <w:r>
        <w:rPr>
          <w:rFonts w:ascii="仿宋_GB2312" w:hAnsi="Calibri" w:eastAsia="仿宋_GB2312"/>
          <w:sz w:val="32"/>
          <w:szCs w:val="32"/>
        </w:rPr>
        <w:t>7</w:t>
      </w:r>
      <w:r>
        <w:rPr>
          <w:rFonts w:hint="eastAsia" w:ascii="仿宋_GB2312" w:hAnsi="Calibri" w:eastAsia="仿宋_GB2312"/>
          <w:sz w:val="32"/>
          <w:szCs w:val="32"/>
        </w:rPr>
        <w:t>、水利工程初步设计文件审批；</w:t>
      </w:r>
      <w:r>
        <w:rPr>
          <w:rFonts w:ascii="仿宋_GB2312" w:hAnsi="Calibri" w:eastAsia="仿宋_GB2312"/>
          <w:sz w:val="32"/>
          <w:szCs w:val="32"/>
        </w:rPr>
        <w:t>8</w:t>
      </w:r>
      <w:r>
        <w:rPr>
          <w:rFonts w:hint="eastAsia" w:ascii="仿宋_GB2312" w:hAnsi="Calibri" w:eastAsia="仿宋_GB2312"/>
          <w:sz w:val="32"/>
          <w:szCs w:val="32"/>
        </w:rPr>
        <w:t>、河道采砂许可；</w:t>
      </w:r>
      <w:r>
        <w:rPr>
          <w:rFonts w:ascii="仿宋_GB2312" w:hAnsi="Calibri" w:eastAsia="仿宋_GB2312"/>
          <w:sz w:val="32"/>
          <w:szCs w:val="32"/>
        </w:rPr>
        <w:t>9</w:t>
      </w:r>
      <w:r>
        <w:rPr>
          <w:rFonts w:hint="eastAsia" w:ascii="仿宋_GB2312" w:hAnsi="Calibri" w:eastAsia="仿宋_GB2312"/>
          <w:sz w:val="32"/>
          <w:szCs w:val="32"/>
        </w:rPr>
        <w:t>、河道管理范围内有关活动（含临时占用）审批。现共保留有行政许可事项</w:t>
      </w:r>
      <w:r>
        <w:rPr>
          <w:rFonts w:ascii="仿宋_GB2312" w:hAnsi="Calibri" w:eastAsia="仿宋_GB2312"/>
          <w:sz w:val="32"/>
          <w:szCs w:val="32"/>
        </w:rPr>
        <w:t>15</w:t>
      </w:r>
      <w:r>
        <w:rPr>
          <w:rFonts w:hint="eastAsia" w:ascii="仿宋_GB2312" w:hAnsi="Calibri" w:eastAsia="仿宋_GB2312"/>
          <w:sz w:val="32"/>
          <w:szCs w:val="32"/>
        </w:rPr>
        <w:t>项，已进驻县网上办事分厅；全年行政许可申请量</w:t>
      </w:r>
      <w:r>
        <w:rPr>
          <w:rFonts w:ascii="仿宋_GB2312" w:hAnsi="Calibri" w:eastAsia="仿宋_GB2312"/>
          <w:sz w:val="32"/>
          <w:szCs w:val="32"/>
        </w:rPr>
        <w:t>55</w:t>
      </w:r>
      <w:r>
        <w:rPr>
          <w:rFonts w:hint="eastAsia" w:ascii="仿宋_GB2312" w:hAnsi="Calibri" w:eastAsia="仿宋_GB2312"/>
          <w:sz w:val="32"/>
          <w:szCs w:val="32"/>
        </w:rPr>
        <w:t>宗，其中受理量</w:t>
      </w:r>
      <w:r>
        <w:rPr>
          <w:rFonts w:ascii="仿宋_GB2312" w:hAnsi="Calibri" w:eastAsia="仿宋_GB2312"/>
          <w:sz w:val="32"/>
          <w:szCs w:val="32"/>
        </w:rPr>
        <w:t>55</w:t>
      </w:r>
      <w:r>
        <w:rPr>
          <w:rFonts w:hint="eastAsia" w:ascii="仿宋_GB2312" w:hAnsi="Calibri" w:eastAsia="仿宋_GB2312"/>
          <w:sz w:val="32"/>
          <w:szCs w:val="32"/>
        </w:rPr>
        <w:t>宗；全年行政许可办结量</w:t>
      </w:r>
      <w:r>
        <w:rPr>
          <w:rFonts w:ascii="仿宋_GB2312" w:hAnsi="Calibri" w:eastAsia="仿宋_GB2312"/>
          <w:sz w:val="32"/>
          <w:szCs w:val="32"/>
        </w:rPr>
        <w:t>55</w:t>
      </w:r>
      <w:r>
        <w:rPr>
          <w:rFonts w:hint="eastAsia" w:ascii="仿宋_GB2312" w:hAnsi="Calibri" w:eastAsia="仿宋_GB2312"/>
          <w:sz w:val="32"/>
          <w:szCs w:val="32"/>
        </w:rPr>
        <w:t>宗，审批同意量</w:t>
      </w:r>
      <w:r>
        <w:rPr>
          <w:rFonts w:ascii="仿宋_GB2312" w:hAnsi="Calibri" w:eastAsia="仿宋_GB2312"/>
          <w:sz w:val="32"/>
          <w:szCs w:val="32"/>
        </w:rPr>
        <w:t>55</w:t>
      </w:r>
      <w:r>
        <w:rPr>
          <w:rFonts w:hint="eastAsia" w:ascii="仿宋_GB2312" w:hAnsi="Calibri" w:eastAsia="仿宋_GB2312"/>
          <w:sz w:val="32"/>
          <w:szCs w:val="32"/>
        </w:rPr>
        <w:t>宗。</w:t>
      </w:r>
    </w:p>
    <w:p>
      <w:pPr>
        <w:pStyle w:val="10"/>
        <w:ind w:firstLine="640" w:firstLineChars="200"/>
        <w:rPr>
          <w:rFonts w:ascii="楷体_GB2312" w:eastAsia="楷体_GB2312"/>
          <w:color w:val="000000"/>
          <w:u w:val="single"/>
        </w:rPr>
      </w:pPr>
      <w:r>
        <w:rPr>
          <w:rFonts w:hint="eastAsia" w:ascii="楷体_GB2312" w:eastAsia="楷体_GB2312"/>
          <w:snapToGrid w:val="0"/>
          <w:color w:val="000000"/>
          <w:kern w:val="0"/>
        </w:rPr>
        <w:t>（二）依法实施情况。</w:t>
      </w:r>
      <w:r>
        <w:rPr>
          <w:rFonts w:hint="eastAsia"/>
          <w:color w:val="000000"/>
        </w:rPr>
        <w:t>我局实施每一项行政许可，均严格按照法定的权限、范围、环节、条件和程序，遵循公开、公平、公正、便民、高效和监督检查的原则。制定行政许可办事指南，优化审批流程和简化审批程序，进一步优化工作时限；明确审批标准，</w:t>
      </w:r>
      <w:r>
        <w:rPr>
          <w:rFonts w:hint="eastAsia"/>
          <w:snapToGrid w:val="0"/>
          <w:color w:val="000000"/>
          <w:kern w:val="0"/>
        </w:rPr>
        <w:t>及时对行政许可配套规范性文件的清理、修改、完善，</w:t>
      </w:r>
      <w:r>
        <w:rPr>
          <w:rFonts w:hint="eastAsia"/>
          <w:color w:val="000000"/>
        </w:rPr>
        <w:t>进一步提高行政许可工作的科学化和法制化水平；目前，</w:t>
      </w:r>
      <w:r>
        <w:rPr>
          <w:rFonts w:hint="eastAsia"/>
          <w:snapToGrid w:val="0"/>
          <w:color w:val="000000"/>
          <w:kern w:val="0"/>
        </w:rPr>
        <w:t>行政许可工作量与工作人员配备相符。</w:t>
      </w:r>
    </w:p>
    <w:p>
      <w:pPr>
        <w:pStyle w:val="9"/>
        <w:autoSpaceDN w:val="0"/>
        <w:ind w:firstLine="480" w:firstLineChars="150"/>
        <w:rPr>
          <w:rFonts w:ascii="仿宋_GB2312"/>
          <w:snapToGrid w:val="0"/>
          <w:color w:val="000000"/>
          <w:kern w:val="0"/>
        </w:rPr>
      </w:pPr>
      <w:r>
        <w:rPr>
          <w:rFonts w:hint="eastAsia" w:ascii="楷体_GB2312" w:eastAsia="楷体_GB2312"/>
          <w:snapToGrid w:val="0"/>
          <w:color w:val="000000"/>
          <w:kern w:val="0"/>
        </w:rPr>
        <w:t>（三）公开公示情况。</w:t>
      </w:r>
      <w:r>
        <w:rPr>
          <w:rFonts w:ascii="仿宋_GB2312"/>
          <w:snapToGrid w:val="0"/>
          <w:color w:val="000000"/>
          <w:kern w:val="0"/>
        </w:rPr>
        <w:t>2021</w:t>
      </w:r>
      <w:r>
        <w:rPr>
          <w:rFonts w:hint="eastAsia" w:ascii="仿宋_GB2312"/>
          <w:snapToGrid w:val="0"/>
          <w:color w:val="000000"/>
          <w:kern w:val="0"/>
        </w:rPr>
        <w:t>年我局已制定行政审批流程图，行政许可设立的依据、条件、申请材料、收费标准、示范文本、举报投诉等规范流程都在县水务局公告栏及政务网（</w:t>
      </w:r>
      <w:r>
        <w:rPr>
          <w:rFonts w:ascii="仿宋_GB2312"/>
          <w:snapToGrid w:val="0"/>
          <w:color w:val="000000"/>
          <w:kern w:val="0"/>
        </w:rPr>
        <w:t>http://www.gdzwfw.gov.cn/portal/index?region=440222</w:t>
      </w:r>
      <w:r>
        <w:rPr>
          <w:rFonts w:hint="eastAsia" w:ascii="仿宋_GB2312"/>
          <w:snapToGrid w:val="0"/>
          <w:color w:val="000000"/>
          <w:kern w:val="0"/>
        </w:rPr>
        <w:t>）公开公布。</w:t>
      </w:r>
    </w:p>
    <w:p>
      <w:pPr>
        <w:ind w:firstLine="480" w:firstLineChars="150"/>
        <w:rPr>
          <w:rFonts w:ascii="仿宋_GB2312" w:eastAsia="仿宋_GB2312"/>
          <w:color w:val="000000"/>
          <w:sz w:val="32"/>
          <w:szCs w:val="32"/>
        </w:rPr>
      </w:pPr>
      <w:r>
        <w:rPr>
          <w:rFonts w:hint="eastAsia" w:ascii="楷体_GB2312" w:eastAsia="楷体_GB2312"/>
          <w:snapToGrid w:val="0"/>
          <w:color w:val="000000"/>
          <w:kern w:val="0"/>
          <w:sz w:val="32"/>
          <w:szCs w:val="32"/>
        </w:rPr>
        <w:t>（四）监督管理情况。</w:t>
      </w:r>
      <w:r>
        <w:rPr>
          <w:rFonts w:hint="eastAsia" w:ascii="仿宋_GB2312" w:eastAsia="仿宋_GB2312"/>
          <w:color w:val="000000"/>
          <w:sz w:val="32"/>
          <w:szCs w:val="32"/>
        </w:rPr>
        <w:t>通过日常检查、验收对许可项目实施情况进行监督管理，单位内部明确有关审批人员的职责和权限，实行领导责任制，对行政许可事项进行监督检查。</w:t>
      </w:r>
    </w:p>
    <w:p>
      <w:pPr>
        <w:pStyle w:val="11"/>
        <w:autoSpaceDN w:val="0"/>
        <w:ind w:firstLine="480" w:firstLineChars="150"/>
        <w:rPr>
          <w:snapToGrid w:val="0"/>
          <w:color w:val="000000"/>
          <w:kern w:val="0"/>
          <w:szCs w:val="32"/>
        </w:rPr>
      </w:pPr>
      <w:r>
        <w:rPr>
          <w:rFonts w:ascii="楷体_GB2312" w:hAnsi="Times New Roman" w:eastAsia="楷体_GB2312"/>
          <w:snapToGrid w:val="0"/>
          <w:color w:val="000000"/>
          <w:kern w:val="0"/>
        </w:rPr>
        <w:t>(</w:t>
      </w:r>
      <w:r>
        <w:rPr>
          <w:rFonts w:hint="eastAsia" w:ascii="楷体_GB2312" w:hAnsi="Times New Roman" w:eastAsia="楷体_GB2312"/>
          <w:snapToGrid w:val="0"/>
          <w:color w:val="000000"/>
          <w:kern w:val="0"/>
        </w:rPr>
        <w:t>五</w:t>
      </w:r>
      <w:r>
        <w:rPr>
          <w:rFonts w:ascii="楷体_GB2312" w:hAnsi="Times New Roman" w:eastAsia="楷体_GB2312"/>
          <w:snapToGrid w:val="0"/>
          <w:color w:val="000000"/>
          <w:kern w:val="0"/>
        </w:rPr>
        <w:t>)</w:t>
      </w:r>
      <w:r>
        <w:rPr>
          <w:rFonts w:hint="eastAsia" w:ascii="楷体_GB2312" w:hAnsi="Times New Roman" w:eastAsia="楷体_GB2312"/>
          <w:snapToGrid w:val="0"/>
          <w:color w:val="000000"/>
          <w:kern w:val="0"/>
        </w:rPr>
        <w:t>实施效果情况。</w:t>
      </w:r>
      <w:r>
        <w:rPr>
          <w:rFonts w:hint="eastAsia"/>
          <w:snapToGrid w:val="0"/>
          <w:color w:val="000000"/>
          <w:kern w:val="0"/>
          <w:szCs w:val="32"/>
        </w:rPr>
        <w:t>通过优化和规范审批流程，为行政相对人提供便利服务，进一步提高审批效率；热情为行政相对人提供咨询服务，方便群众办事，服务满意率较高。</w:t>
      </w:r>
    </w:p>
    <w:p>
      <w:pPr>
        <w:rPr>
          <w:rFonts w:ascii="仿宋_GB2312" w:eastAsia="仿宋_GB2312"/>
          <w:color w:val="000000"/>
          <w:sz w:val="32"/>
          <w:szCs w:val="32"/>
        </w:rPr>
      </w:pP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二、工作亮点</w:t>
      </w:r>
    </w:p>
    <w:p>
      <w:pPr>
        <w:pStyle w:val="11"/>
        <w:autoSpaceDN w:val="0"/>
        <w:ind w:firstLine="480" w:firstLineChars="150"/>
        <w:rPr>
          <w:snapToGrid w:val="0"/>
          <w:color w:val="000000"/>
          <w:kern w:val="0"/>
        </w:rPr>
      </w:pPr>
      <w:r>
        <w:rPr>
          <w:rFonts w:hint="eastAsia" w:ascii="楷体_GB2312" w:eastAsia="楷体_GB2312"/>
          <w:snapToGrid w:val="0"/>
          <w:color w:val="000000"/>
          <w:kern w:val="0"/>
        </w:rPr>
        <w:t>（一）推行标准化成效。</w:t>
      </w:r>
      <w:r>
        <w:rPr>
          <w:rFonts w:hint="eastAsia"/>
          <w:color w:val="000000"/>
          <w:shd w:val="clear" w:color="auto" w:fill="FFFFFF"/>
        </w:rPr>
        <w:t>认真按照县编办印发的行政许可事项和公共服务事项目录和标准化建设的有关要求，创新工作机制，强化责任落实，抓早抓主动。</w:t>
      </w:r>
    </w:p>
    <w:p>
      <w:pPr>
        <w:pStyle w:val="9"/>
        <w:autoSpaceDN w:val="0"/>
        <w:ind w:firstLine="480" w:firstLineChars="150"/>
        <w:rPr>
          <w:rFonts w:ascii="仿宋_GB2312"/>
          <w:snapToGrid w:val="0"/>
          <w:color w:val="000000"/>
          <w:kern w:val="0"/>
        </w:rPr>
      </w:pPr>
      <w:r>
        <w:rPr>
          <w:rFonts w:hint="eastAsia" w:ascii="楷体_GB2312" w:eastAsia="楷体_GB2312"/>
          <w:snapToGrid w:val="0"/>
          <w:kern w:val="0"/>
        </w:rPr>
        <w:t>（二）优化服务情况。</w:t>
      </w:r>
      <w:r>
        <w:rPr>
          <w:rFonts w:hint="eastAsia"/>
          <w:shd w:val="clear" w:color="auto" w:fill="FFFFFF"/>
        </w:rPr>
        <w:t>一是做好上级取消下放行政权力事项的承接落实工作</w:t>
      </w:r>
      <w:r>
        <w:rPr>
          <w:shd w:val="clear" w:color="auto" w:fill="FFFFFF"/>
        </w:rPr>
        <w:t>,</w:t>
      </w:r>
      <w:r>
        <w:rPr>
          <w:rFonts w:hint="eastAsia"/>
          <w:shd w:val="clear" w:color="auto" w:fill="FFFFFF"/>
        </w:rPr>
        <w:t>确保落实到位；二是按照上级要求做好政务服务事项梳理工作，并在日常工作中严格按照上报的政务服务清单及责任清单做好行政审批及执法工作；三是优化审批流程，缩短审批时限，简化办证程序，提高审批效率，推行一站式服务，实行一次性告知制，坚持限时办结，遵守法定要求按照缩短的时限即时办理。</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三、存在问题和困难</w:t>
      </w:r>
      <w:r>
        <w:rPr>
          <w:rFonts w:ascii="仿宋_GB2312" w:hAnsi="仿宋_GB2312" w:eastAsia="仿宋_GB2312" w:cs="仿宋_GB2312"/>
          <w:color w:val="000000"/>
          <w:kern w:val="0"/>
          <w:sz w:val="32"/>
          <w:szCs w:val="32"/>
        </w:rPr>
        <w:t xml:space="preserve"> </w:t>
      </w:r>
    </w:p>
    <w:p>
      <w:pPr>
        <w:pStyle w:val="9"/>
        <w:autoSpaceDN w:val="0"/>
        <w:ind w:firstLine="480" w:firstLineChars="150"/>
        <w:rPr>
          <w:rFonts w:ascii="仿宋_GB2312"/>
          <w:snapToGrid w:val="0"/>
          <w:color w:val="000000"/>
          <w:kern w:val="0"/>
        </w:rPr>
      </w:pPr>
      <w:r>
        <w:rPr>
          <w:rFonts w:hint="eastAsia" w:ascii="仿宋_GB2312"/>
          <w:snapToGrid w:val="0"/>
          <w:color w:val="000000"/>
          <w:kern w:val="0"/>
        </w:rPr>
        <w:t>（一）水行政法律法规宣传力度有待于进一步加强，部分群众水法律意识较为淡薄。</w:t>
      </w:r>
    </w:p>
    <w:p>
      <w:pPr>
        <w:pStyle w:val="9"/>
        <w:autoSpaceDN w:val="0"/>
        <w:ind w:firstLine="480" w:firstLineChars="150"/>
        <w:rPr>
          <w:rFonts w:ascii="仿宋_GB2312"/>
          <w:snapToGrid w:val="0"/>
          <w:color w:val="000000"/>
          <w:kern w:val="0"/>
        </w:rPr>
      </w:pPr>
      <w:r>
        <w:rPr>
          <w:rFonts w:hint="eastAsia"/>
          <w:snapToGrid w:val="0"/>
          <w:kern w:val="0"/>
        </w:rPr>
        <w:t>（二）网上办事系统有待进一步完善，办事系统稳定性不高，缺少数据统计汇总和分析功能，不利于提高办事效率。</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kern w:val="0"/>
          <w:sz w:val="32"/>
          <w:szCs w:val="32"/>
        </w:rPr>
        <w:t>四、下一步工作措施及有关建议</w:t>
      </w:r>
      <w:r>
        <w:rPr>
          <w:rFonts w:ascii="仿宋_GB2312" w:hAnsi="仿宋_GB2312" w:eastAsia="仿宋_GB2312" w:cs="仿宋_GB2312"/>
          <w:color w:val="000000"/>
          <w:kern w:val="0"/>
          <w:sz w:val="32"/>
          <w:szCs w:val="32"/>
        </w:rPr>
        <w:t xml:space="preserve"> </w:t>
      </w:r>
    </w:p>
    <w:p>
      <w:pPr>
        <w:pStyle w:val="11"/>
        <w:ind w:firstLine="480" w:firstLineChars="150"/>
        <w:rPr>
          <w:snapToGrid w:val="0"/>
          <w:color w:val="000000"/>
          <w:kern w:val="0"/>
          <w:szCs w:val="32"/>
        </w:rPr>
      </w:pPr>
      <w:r>
        <w:rPr>
          <w:rFonts w:hint="eastAsia"/>
          <w:snapToGrid w:val="0"/>
          <w:color w:val="000000"/>
          <w:kern w:val="0"/>
          <w:szCs w:val="32"/>
        </w:rPr>
        <w:t>（一）加强行政许可宣传力度。结合每年的“世界水日”和“中国水周”宣传活动，大力宣传水务部门行政许可事项，帮助广大人民群众和生产经营单位了解和掌握行政许可，自觉办理行政审批，促使广大企业和个人自觉按法律规章办事。</w:t>
      </w:r>
    </w:p>
    <w:p>
      <w:pPr>
        <w:pStyle w:val="11"/>
        <w:ind w:firstLine="480" w:firstLineChars="150"/>
        <w:rPr>
          <w:snapToGrid w:val="0"/>
          <w:color w:val="000000"/>
          <w:kern w:val="0"/>
          <w:szCs w:val="32"/>
        </w:rPr>
      </w:pPr>
      <w:r>
        <w:rPr>
          <w:rFonts w:hint="eastAsia"/>
          <w:snapToGrid w:val="0"/>
          <w:color w:val="000000"/>
          <w:kern w:val="0"/>
          <w:szCs w:val="32"/>
        </w:rPr>
        <w:t>（二）进一步加强网上办事大厅建设，完善操作系统和硬件设施，切实提高数据采集能力和传输效率。</w:t>
      </w:r>
    </w:p>
    <w:p>
      <w:pPr>
        <w:pStyle w:val="11"/>
        <w:ind w:firstLine="480" w:firstLineChars="150"/>
        <w:rPr>
          <w:snapToGrid w:val="0"/>
          <w:color w:val="000000"/>
          <w:kern w:val="0"/>
          <w:szCs w:val="32"/>
        </w:rPr>
      </w:pPr>
      <w:r>
        <w:rPr>
          <w:rFonts w:hint="eastAsia"/>
          <w:snapToGrid w:val="0"/>
          <w:color w:val="000000"/>
          <w:kern w:val="0"/>
          <w:szCs w:val="32"/>
        </w:rPr>
        <w:t>（三）加强行政执法，督促未办理行政许可的单位和个人自行补办行政许可审批，对达不到要求的单位和个人，责令整改。</w:t>
      </w:r>
    </w:p>
    <w:p>
      <w:pPr>
        <w:pStyle w:val="11"/>
        <w:ind w:firstLine="0" w:firstLineChars="0"/>
        <w:rPr>
          <w:snapToGrid w:val="0"/>
          <w:color w:val="000000"/>
          <w:kern w:val="0"/>
          <w:szCs w:val="32"/>
        </w:rPr>
      </w:pPr>
    </w:p>
    <w:p>
      <w:pPr>
        <w:pStyle w:val="11"/>
        <w:ind w:firstLine="0" w:firstLineChars="0"/>
        <w:rPr>
          <w:snapToGrid w:val="0"/>
          <w:color w:val="000000"/>
          <w:kern w:val="0"/>
          <w:szCs w:val="32"/>
        </w:rPr>
      </w:pPr>
    </w:p>
    <w:p>
      <w:pPr>
        <w:pStyle w:val="11"/>
        <w:autoSpaceDN w:val="0"/>
        <w:ind w:firstLine="480" w:firstLineChars="150"/>
        <w:rPr>
          <w:snapToGrid w:val="0"/>
          <w:color w:val="000000"/>
          <w:kern w:val="0"/>
          <w:szCs w:val="32"/>
        </w:rPr>
      </w:pPr>
      <w:r>
        <w:rPr>
          <w:snapToGrid w:val="0"/>
          <w:color w:val="000000"/>
          <w:kern w:val="0"/>
          <w:szCs w:val="32"/>
        </w:rPr>
        <w:t xml:space="preserve">                             </w:t>
      </w:r>
      <w:r>
        <w:rPr>
          <w:rFonts w:hint="eastAsia"/>
          <w:snapToGrid w:val="0"/>
          <w:color w:val="000000"/>
          <w:kern w:val="0"/>
          <w:szCs w:val="32"/>
        </w:rPr>
        <w:t>始兴县水务局</w:t>
      </w:r>
      <w:r>
        <w:rPr>
          <w:snapToGrid w:val="0"/>
          <w:color w:val="000000"/>
          <w:kern w:val="0"/>
          <w:szCs w:val="32"/>
        </w:rPr>
        <w:t xml:space="preserve"> </w:t>
      </w:r>
    </w:p>
    <w:p>
      <w:pPr>
        <w:pStyle w:val="11"/>
        <w:ind w:firstLine="480" w:firstLineChars="150"/>
        <w:rPr>
          <w:rFonts w:ascii="黑体" w:hAnsi="黑体" w:eastAsia="黑体" w:cs="仿宋_GB2312"/>
          <w:snapToGrid w:val="0"/>
          <w:color w:val="000000"/>
          <w:kern w:val="0"/>
          <w:szCs w:val="32"/>
        </w:rPr>
      </w:pPr>
      <w:r>
        <w:rPr>
          <w:snapToGrid w:val="0"/>
          <w:kern w:val="0"/>
        </w:rPr>
        <w:t xml:space="preserve">                        </w:t>
      </w:r>
      <w:bookmarkStart w:id="1" w:name="_GoBack"/>
      <w:bookmarkEnd w:id="1"/>
      <w:r>
        <w:rPr>
          <w:snapToGrid w:val="0"/>
          <w:kern w:val="0"/>
        </w:rPr>
        <w:t xml:space="preserve">    2022</w:t>
      </w:r>
      <w:r>
        <w:rPr>
          <w:rFonts w:hint="eastAsia"/>
          <w:snapToGrid w:val="0"/>
          <w:kern w:val="0"/>
        </w:rPr>
        <w:t>年</w:t>
      </w:r>
      <w:r>
        <w:rPr>
          <w:rFonts w:hint="eastAsia"/>
          <w:snapToGrid w:val="0"/>
          <w:kern w:val="0"/>
          <w:lang w:val="en-US" w:eastAsia="zh-CN"/>
        </w:rPr>
        <w:t>5</w:t>
      </w:r>
      <w:r>
        <w:rPr>
          <w:rFonts w:hint="eastAsia"/>
          <w:snapToGrid w:val="0"/>
          <w:kern w:val="0"/>
        </w:rPr>
        <w:t>月</w:t>
      </w:r>
      <w:r>
        <w:rPr>
          <w:rFonts w:hint="eastAsia"/>
          <w:snapToGrid w:val="0"/>
          <w:kern w:val="0"/>
          <w:lang w:val="en-US" w:eastAsia="zh-CN"/>
        </w:rPr>
        <w:t>6</w:t>
      </w:r>
      <w:r>
        <w:rPr>
          <w:rFonts w:hint="eastAsia"/>
          <w:snapToGrid w:val="0"/>
          <w:kern w:val="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A546B0"/>
    <w:rsid w:val="000D03CF"/>
    <w:rsid w:val="000F2289"/>
    <w:rsid w:val="00105FE6"/>
    <w:rsid w:val="0023540A"/>
    <w:rsid w:val="002406DF"/>
    <w:rsid w:val="00353836"/>
    <w:rsid w:val="00373D7E"/>
    <w:rsid w:val="003934F3"/>
    <w:rsid w:val="003B5E6F"/>
    <w:rsid w:val="003E739B"/>
    <w:rsid w:val="004406D9"/>
    <w:rsid w:val="004B66C3"/>
    <w:rsid w:val="0055468A"/>
    <w:rsid w:val="0065270A"/>
    <w:rsid w:val="006A5629"/>
    <w:rsid w:val="006C7C83"/>
    <w:rsid w:val="007213E8"/>
    <w:rsid w:val="007430D8"/>
    <w:rsid w:val="00751DB0"/>
    <w:rsid w:val="008F5260"/>
    <w:rsid w:val="00900C28"/>
    <w:rsid w:val="009152AD"/>
    <w:rsid w:val="00985C92"/>
    <w:rsid w:val="009874E7"/>
    <w:rsid w:val="0099378A"/>
    <w:rsid w:val="00A07D49"/>
    <w:rsid w:val="00A459D1"/>
    <w:rsid w:val="00A5111B"/>
    <w:rsid w:val="00AB5747"/>
    <w:rsid w:val="00B453AD"/>
    <w:rsid w:val="00BA579F"/>
    <w:rsid w:val="00CD43A6"/>
    <w:rsid w:val="00D25F86"/>
    <w:rsid w:val="00D44876"/>
    <w:rsid w:val="00D70FC1"/>
    <w:rsid w:val="00DC0BE7"/>
    <w:rsid w:val="00E64196"/>
    <w:rsid w:val="00F545FD"/>
    <w:rsid w:val="00F555D6"/>
    <w:rsid w:val="00F812B5"/>
    <w:rsid w:val="00FE084E"/>
    <w:rsid w:val="02942DCF"/>
    <w:rsid w:val="0BA546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widowControl w:val="0"/>
      <w:tabs>
        <w:tab w:val="center" w:pos="4153"/>
        <w:tab w:val="right" w:pos="8306"/>
      </w:tabs>
      <w:snapToGrid w:val="0"/>
      <w:jc w:val="left"/>
    </w:pPr>
    <w:rPr>
      <w:rFonts w:ascii="Calibri" w:hAnsi="Calibri"/>
      <w:sz w:val="18"/>
      <w:szCs w:val="24"/>
    </w:rPr>
  </w:style>
  <w:style w:type="paragraph" w:styleId="3">
    <w:name w:val="header"/>
    <w:basedOn w:val="1"/>
    <w:link w:val="8"/>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szCs w:val="24"/>
    </w:rPr>
  </w:style>
  <w:style w:type="character" w:styleId="5">
    <w:name w:val="Hyperlink"/>
    <w:basedOn w:val="4"/>
    <w:uiPriority w:val="99"/>
    <w:rPr>
      <w:rFonts w:cs="Times New Roman"/>
      <w:color w:val="0000FF"/>
      <w:u w:val="single"/>
    </w:rPr>
  </w:style>
  <w:style w:type="character" w:customStyle="1" w:styleId="7">
    <w:name w:val="Footer Char"/>
    <w:basedOn w:val="4"/>
    <w:link w:val="2"/>
    <w:semiHidden/>
    <w:qFormat/>
    <w:locked/>
    <w:uiPriority w:val="99"/>
    <w:rPr>
      <w:rFonts w:ascii="Calibri" w:hAnsi="Calibri" w:cs="Times New Roman"/>
      <w:sz w:val="18"/>
      <w:szCs w:val="18"/>
    </w:rPr>
  </w:style>
  <w:style w:type="character" w:customStyle="1" w:styleId="8">
    <w:name w:val="Header Char"/>
    <w:basedOn w:val="4"/>
    <w:link w:val="3"/>
    <w:semiHidden/>
    <w:locked/>
    <w:uiPriority w:val="99"/>
    <w:rPr>
      <w:rFonts w:ascii="Calibri" w:hAnsi="Calibri" w:cs="Times New Roman"/>
      <w:sz w:val="18"/>
      <w:szCs w:val="18"/>
    </w:rPr>
  </w:style>
  <w:style w:type="paragraph" w:customStyle="1" w:styleId="9">
    <w:name w:val="正文 New New New New New New"/>
    <w:basedOn w:val="1"/>
    <w:qFormat/>
    <w:uiPriority w:val="99"/>
    <w:pPr>
      <w:widowControl w:val="0"/>
    </w:pPr>
    <w:rPr>
      <w:rFonts w:eastAsia="仿宋_GB2312"/>
      <w:sz w:val="32"/>
      <w:szCs w:val="32"/>
    </w:rPr>
  </w:style>
  <w:style w:type="paragraph" w:customStyle="1" w:styleId="10">
    <w:name w:val="正文 New New"/>
    <w:basedOn w:val="1"/>
    <w:qFormat/>
    <w:uiPriority w:val="99"/>
    <w:pPr>
      <w:widowControl w:val="0"/>
    </w:pPr>
    <w:rPr>
      <w:rFonts w:eastAsia="仿宋_GB2312"/>
      <w:sz w:val="32"/>
      <w:szCs w:val="32"/>
    </w:rPr>
  </w:style>
  <w:style w:type="paragraph" w:customStyle="1" w:styleId="11">
    <w:name w:val="正文 New New New"/>
    <w:uiPriority w:val="99"/>
    <w:pPr>
      <w:widowControl w:val="0"/>
      <w:ind w:firstLine="560" w:firstLineChars="200"/>
      <w:jc w:val="both"/>
    </w:pPr>
    <w:rPr>
      <w:rFonts w:ascii="仿宋_GB2312"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251</Words>
  <Characters>1434</Characters>
  <Lines>0</Lines>
  <Paragraphs>0</Paragraphs>
  <TotalTime>41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2022-04-19T00:43:00Z</dcterms:created>
  <dc:creator>北山老虎</dc:creator>
  <cp:lastModifiedBy>Huawei</cp:lastModifiedBy>
  <dcterms:modified xsi:type="dcterms:W3CDTF">2022-05-06T00:57:02Z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