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始兴县发展和改革局“八五”普法责任清单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4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4217"/>
        <w:gridCol w:w="1381"/>
        <w:gridCol w:w="1285"/>
        <w:gridCol w:w="2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拟重点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宣传的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重点普法对象</w:t>
            </w:r>
          </w:p>
        </w:tc>
        <w:tc>
          <w:tcPr>
            <w:tcW w:w="1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责任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股室</w:t>
            </w:r>
          </w:p>
        </w:tc>
        <w:tc>
          <w:tcPr>
            <w:tcW w:w="2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拟开展的普法活动形式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习近平法治思想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办公室、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宪法、民法典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干部职工、社会大众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法治建设纲领性文件：《法治中国建设规划（2020-2025年）》《法治社会建设实施纲要（2020-2025年）》《法治政府建设实施纲要（2021-2025年）》等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1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行政基本法律法规知识：《国家安全法》《保守国家秘密法》《行政许可法》《行政处罚法》《行政强制法》《国家赔偿法》《重大行政决策程序暂行条例》《政府信息公开条例》《广东省重大行政决策程序规定》《公务员法》《行政复议法》《行政诉讼法》《信访条例》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办公室、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发展改革工作密切相关的法律法规：《外商投资法》《政府投资条例》《企业投资项目核准和备案管理条例》《广东省促进革命老区发展条例》《招标投标法》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广东省实施〈中华人民共和国招标投标法〉办法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《优化营商环境条例》《节约能源法》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循环经济促进法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节约能源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》《石油天然气管道保护法》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电力法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电力供应与使用条例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《价格法》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广东省行政事业性收费管理条例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粮食流通管理条例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》《广东省粮食安全保障条例》《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广东省社会信用条例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等及新出台的法律法规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干部职工、社会大众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投资管理股、能源和产业发展股、价格与收费管理股、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粮食储备股、粮食调控股、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体改法规股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，工作中通过咨询答复、发放办事手册、指南等方式宣传普及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党内法规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干部职工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会议、讲座学习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，观看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纪录片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黑体" w:eastAsia="黑体"/>
          <w:b/>
          <w:sz w:val="32"/>
          <w:szCs w:val="32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7A81"/>
    <w:rsid w:val="7AD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4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2022-11-11T07:34:00Z</dcterms:created>
  <dc:creator>漂洋过海</dc:creator>
  <cp:lastModifiedBy>漂洋过海</cp:lastModifiedBy>
  <dcterms:modified xsi:type="dcterms:W3CDTF">2022-11-11T07:35:09Z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A756D9508B1B47F8867DF03DB462E6D8</vt:lpwstr>
  </property>
</Properties>
</file>