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广东省工伤康复服务项目及支付标准</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ascii="方正小标宋_GBK" w:hAnsi="方正小标宋_GBK" w:eastAsia="方正小标宋_GBK" w:cs="方正小标宋_GBK"/>
          <w:sz w:val="40"/>
          <w:szCs w:val="40"/>
        </w:rPr>
      </w:pPr>
      <w:r>
        <w:rPr>
          <w:rFonts w:hint="eastAsia" w:ascii="楷体" w:hAnsi="楷体" w:eastAsia="楷体" w:cs="楷体"/>
          <w:sz w:val="28"/>
          <w:szCs w:val="28"/>
        </w:rPr>
        <w:t>说   明</w:t>
      </w:r>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456" w:lineRule="exact"/>
        <w:ind w:firstLine="480" w:firstLineChars="200"/>
        <w:textAlignment w:val="auto"/>
        <w:rPr>
          <w:rFonts w:hint="eastAsia" w:ascii="方正书宋_GBK" w:hAnsi="方正书宋_GBK" w:eastAsia="方正书宋_GBK" w:cs="方正书宋_GBK"/>
          <w:sz w:val="24"/>
          <w:szCs w:val="24"/>
        </w:rPr>
      </w:pPr>
      <w:r>
        <w:rPr>
          <w:rFonts w:hint="eastAsia" w:ascii="方正书宋_GBK" w:hAnsi="方正书宋_GBK" w:eastAsia="方正书宋_GBK" w:cs="方正书宋_GBK"/>
          <w:sz w:val="24"/>
          <w:szCs w:val="24"/>
        </w:rPr>
        <w:t>《广东省工伤康复服务项目及支付标准》分为医疗康复服务类（包括康复评定、康复治疗、康复护理及其它4类，共224项）、职业社会康复服务类（包括评估、治疗训练2类，共36项），共计260项。其中在《广东省医疗保障局关于公布〈广东省基本医疗服务价格项目目录（2021年版）〉和〈广东省市场调节价医疗服务价格项目目录（2021年版）〉有关事项的通知》（粤医保发〔2021〕20号）和《广东省医疗保障局关于公布心脏移植等修订医疗服务价格项目的通知》（粤医保发〔2021〕46号）中已有的项目，在备注栏标记其对应编码。</w:t>
      </w:r>
    </w:p>
    <w:p>
      <w:pPr>
        <w:keepNext w:val="0"/>
        <w:keepLines w:val="0"/>
        <w:pageBreakBefore w:val="0"/>
        <w:widowControl w:val="0"/>
        <w:kinsoku/>
        <w:wordWrap/>
        <w:overflowPunct/>
        <w:topLinePunct w:val="0"/>
        <w:autoSpaceDE/>
        <w:autoSpaceDN/>
        <w:bidi w:val="0"/>
        <w:adjustRightInd/>
        <w:snapToGrid/>
        <w:spacing w:line="456" w:lineRule="exact"/>
        <w:ind w:firstLine="480" w:firstLineChars="200"/>
        <w:textAlignment w:val="auto"/>
        <w:rPr>
          <w:rFonts w:hint="eastAsia" w:ascii="方正书宋_GBK" w:hAnsi="方正书宋_GBK" w:eastAsia="方正书宋_GBK" w:cs="方正书宋_GBK"/>
          <w:sz w:val="24"/>
          <w:szCs w:val="24"/>
        </w:rPr>
      </w:pPr>
      <w:r>
        <w:rPr>
          <w:rFonts w:hint="eastAsia" w:ascii="方正书宋_GBK" w:hAnsi="方正书宋_GBK" w:eastAsia="方正书宋_GBK" w:cs="方正书宋_GBK"/>
          <w:sz w:val="24"/>
          <w:szCs w:val="24"/>
        </w:rPr>
        <w:t>本标准项目内涵中“包括”后面所列的不同服务内容和不同技术方法，均按本项目同一支付标准计费，项目内涵中“含”表示在该项目中应当提供的服务内容，这些服务内容不得单独分解计费，在特殊情况下，由于患者病情需要只提供其中部分服务内容,也按此项标准计费。</w:t>
      </w:r>
    </w:p>
    <w:p>
      <w:pPr>
        <w:keepNext w:val="0"/>
        <w:keepLines w:val="0"/>
        <w:pageBreakBefore w:val="0"/>
        <w:widowControl w:val="0"/>
        <w:kinsoku/>
        <w:wordWrap/>
        <w:overflowPunct/>
        <w:topLinePunct w:val="0"/>
        <w:autoSpaceDE/>
        <w:autoSpaceDN/>
        <w:bidi w:val="0"/>
        <w:adjustRightInd/>
        <w:snapToGrid/>
        <w:spacing w:line="456" w:lineRule="exact"/>
        <w:ind w:firstLine="480" w:firstLineChars="200"/>
        <w:textAlignment w:val="auto"/>
        <w:rPr>
          <w:rFonts w:hint="eastAsia" w:ascii="方正书宋_GBK" w:hAnsi="方正书宋_GBK" w:eastAsia="方正书宋_GBK" w:cs="方正书宋_GBK"/>
          <w:sz w:val="24"/>
          <w:szCs w:val="24"/>
        </w:rPr>
      </w:pPr>
      <w:r>
        <w:rPr>
          <w:rFonts w:hint="eastAsia" w:ascii="方正书宋_GBK" w:hAnsi="方正书宋_GBK" w:eastAsia="方正书宋_GBK" w:cs="方正书宋_GBK"/>
          <w:sz w:val="24"/>
          <w:szCs w:val="24"/>
        </w:rPr>
        <w:t>《广东省工伤康复服务项目及支付标准》是根据《全国工伤康复服务项目（试行）》规定的项目制订，是工伤职工享受康复待遇的支付标准，由工伤保险基金支付，其中包含许多非医疗服务项目，有别于现行医疗服务价格体系，仅限于在人力资源社会保障部门确定的工伤康复协议机构范围内使用；各康复协议机构，对所能提供的工伤康复服务项目，须向人力资源社会保障部门提出申报，经省工伤康复专家委员会评估核准后方可按本标准执行。</w:t>
      </w:r>
    </w:p>
    <w:p>
      <w:pPr>
        <w:keepNext w:val="0"/>
        <w:keepLines w:val="0"/>
        <w:pageBreakBefore w:val="0"/>
        <w:widowControl w:val="0"/>
        <w:kinsoku/>
        <w:wordWrap/>
        <w:overflowPunct/>
        <w:topLinePunct w:val="0"/>
        <w:autoSpaceDE/>
        <w:autoSpaceDN/>
        <w:bidi w:val="0"/>
        <w:adjustRightInd/>
        <w:snapToGrid/>
        <w:spacing w:line="456" w:lineRule="exact"/>
        <w:ind w:firstLine="480" w:firstLineChars="200"/>
        <w:textAlignment w:val="auto"/>
        <w:rPr>
          <w:rFonts w:hint="eastAsia" w:ascii="方正书宋_GBK" w:hAnsi="方正书宋_GBK" w:eastAsia="方正书宋_GBK" w:cs="方正书宋_GBK"/>
          <w:sz w:val="24"/>
          <w:szCs w:val="24"/>
        </w:rPr>
      </w:pPr>
      <w:r>
        <w:rPr>
          <w:rFonts w:hint="eastAsia" w:ascii="黑体" w:hAnsi="黑体" w:eastAsia="黑体" w:cs="黑体"/>
          <w:sz w:val="24"/>
          <w:szCs w:val="24"/>
        </w:rPr>
        <w:t>一、医疗康复服务类</w:t>
      </w:r>
    </w:p>
    <w:p>
      <w:pPr>
        <w:keepNext w:val="0"/>
        <w:keepLines w:val="0"/>
        <w:pageBreakBefore w:val="0"/>
        <w:widowControl w:val="0"/>
        <w:kinsoku/>
        <w:wordWrap/>
        <w:overflowPunct/>
        <w:topLinePunct w:val="0"/>
        <w:autoSpaceDE/>
        <w:autoSpaceDN/>
        <w:bidi w:val="0"/>
        <w:adjustRightInd/>
        <w:snapToGrid/>
        <w:spacing w:line="456" w:lineRule="exact"/>
        <w:ind w:firstLine="480" w:firstLineChars="200"/>
        <w:textAlignment w:val="auto"/>
        <w:rPr>
          <w:rFonts w:hint="eastAsia" w:ascii="方正书宋_GBK" w:hAnsi="方正书宋_GBK" w:eastAsia="方正书宋_GBK" w:cs="方正书宋_GBK"/>
          <w:sz w:val="24"/>
          <w:szCs w:val="24"/>
        </w:rPr>
      </w:pPr>
      <w:r>
        <w:rPr>
          <w:rFonts w:hint="eastAsia" w:ascii="方正书宋_GBK" w:hAnsi="方正书宋_GBK" w:eastAsia="方正书宋_GBK" w:cs="方正书宋_GBK"/>
          <w:sz w:val="24"/>
          <w:szCs w:val="24"/>
        </w:rPr>
        <w:t>本类说明：</w:t>
      </w:r>
    </w:p>
    <w:p>
      <w:pPr>
        <w:keepNext w:val="0"/>
        <w:keepLines w:val="0"/>
        <w:pageBreakBefore w:val="0"/>
        <w:widowControl w:val="0"/>
        <w:numPr>
          <w:ilvl w:val="0"/>
          <w:numId w:val="1"/>
        </w:numPr>
        <w:kinsoku/>
        <w:wordWrap/>
        <w:overflowPunct/>
        <w:topLinePunct w:val="0"/>
        <w:autoSpaceDE/>
        <w:autoSpaceDN/>
        <w:bidi w:val="0"/>
        <w:adjustRightInd/>
        <w:snapToGrid/>
        <w:spacing w:line="456" w:lineRule="exact"/>
        <w:ind w:firstLine="480" w:firstLineChars="200"/>
        <w:textAlignment w:val="auto"/>
        <w:rPr>
          <w:rFonts w:hint="eastAsia" w:ascii="方正书宋_GBK" w:hAnsi="方正书宋_GBK" w:eastAsia="方正书宋_GBK" w:cs="方正书宋_GBK"/>
          <w:sz w:val="24"/>
          <w:szCs w:val="24"/>
        </w:rPr>
      </w:pPr>
      <w:r>
        <w:rPr>
          <w:rFonts w:hint="eastAsia" w:ascii="方正书宋_GBK" w:hAnsi="方正书宋_GBK" w:eastAsia="方正书宋_GBK" w:cs="方正书宋_GBK"/>
          <w:sz w:val="24"/>
          <w:szCs w:val="24"/>
        </w:rPr>
        <w:t>医疗康复服务类包括康复评价、康复治疗、康复护理及其它四类，总共224项。</w:t>
      </w:r>
    </w:p>
    <w:p>
      <w:pPr>
        <w:keepNext w:val="0"/>
        <w:keepLines w:val="0"/>
        <w:pageBreakBefore w:val="0"/>
        <w:widowControl w:val="0"/>
        <w:numPr>
          <w:ilvl w:val="0"/>
          <w:numId w:val="1"/>
        </w:numPr>
        <w:kinsoku/>
        <w:wordWrap/>
        <w:overflowPunct/>
        <w:topLinePunct w:val="0"/>
        <w:autoSpaceDE/>
        <w:autoSpaceDN/>
        <w:bidi w:val="0"/>
        <w:adjustRightInd/>
        <w:snapToGrid/>
        <w:spacing w:line="456" w:lineRule="exact"/>
        <w:ind w:left="0" w:leftChars="0" w:firstLine="480" w:firstLineChars="200"/>
        <w:textAlignment w:val="auto"/>
        <w:rPr>
          <w:rFonts w:hint="eastAsia" w:ascii="方正书宋_GBK" w:hAnsi="方正书宋_GBK" w:eastAsia="方正书宋_GBK" w:cs="方正书宋_GBK"/>
          <w:sz w:val="24"/>
          <w:szCs w:val="24"/>
        </w:rPr>
      </w:pPr>
      <w:r>
        <w:rPr>
          <w:rFonts w:hint="eastAsia" w:ascii="方正书宋_GBK" w:hAnsi="方正书宋_GBK" w:eastAsia="方正书宋_GBK" w:cs="方正书宋_GBK"/>
          <w:sz w:val="24"/>
          <w:szCs w:val="24"/>
        </w:rPr>
        <w:t>本类项目分类，综合国内外相关康复医疗机构的服务项目而制定，基本涵盖了工伤伤残患者康复治疗所需的各种医疗康复评价、康复治疗及康复护理项目。</w:t>
      </w:r>
    </w:p>
    <w:tbl>
      <w:tblPr>
        <w:tblStyle w:val="3"/>
        <w:tblW w:w="87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49"/>
        <w:gridCol w:w="1446"/>
        <w:gridCol w:w="795"/>
        <w:gridCol w:w="1247"/>
        <w:gridCol w:w="2107"/>
        <w:gridCol w:w="1048"/>
        <w:gridCol w:w="9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blHeader/>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项目</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编码</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项目名称</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计价</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单位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b/>
                <w:bCs/>
                <w:color w:val="000000"/>
                <w:kern w:val="0"/>
                <w:sz w:val="24"/>
                <w:lang w:eastAsia="zh-CN"/>
              </w:rPr>
            </w:pPr>
            <w:r>
              <w:rPr>
                <w:rFonts w:hint="default" w:ascii="Times New Roman" w:hAnsi="Times New Roman" w:eastAsia="仿宋_GB2312" w:cs="Times New Roman"/>
                <w:b/>
                <w:bCs/>
                <w:color w:val="000000"/>
                <w:kern w:val="0"/>
                <w:sz w:val="24"/>
              </w:rPr>
              <w:t>支付标准</w:t>
            </w:r>
            <w:r>
              <w:rPr>
                <w:rFonts w:hint="eastAsia" w:ascii="Times New Roman" w:hAnsi="Times New Roman" w:cs="Times New Roman"/>
                <w:b/>
                <w:bCs/>
                <w:color w:val="000000"/>
                <w:kern w:val="0"/>
                <w:sz w:val="24"/>
                <w:lang w:eastAsia="zh-CN"/>
              </w:rPr>
              <w:t>（</w:t>
            </w:r>
            <w:r>
              <w:rPr>
                <w:rFonts w:hint="eastAsia" w:ascii="Times New Roman" w:hAnsi="Times New Roman" w:cs="Times New Roman"/>
                <w:b/>
                <w:bCs/>
                <w:color w:val="000000"/>
                <w:kern w:val="0"/>
                <w:sz w:val="24"/>
                <w:lang w:val="en-US" w:eastAsia="zh-CN"/>
              </w:rPr>
              <w:t>元</w:t>
            </w:r>
            <w:r>
              <w:rPr>
                <w:rFonts w:hint="eastAsia" w:ascii="Times New Roman" w:hAnsi="Times New Roman" w:cs="Times New Roman"/>
                <w:b/>
                <w:bCs/>
                <w:color w:val="000000"/>
                <w:kern w:val="0"/>
                <w:sz w:val="24"/>
                <w:lang w:eastAsia="zh-CN"/>
              </w:rPr>
              <w:t>）</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项目内涵</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除外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内容</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eastAsia" w:ascii="Times New Roman" w:hAnsi="Times New Roman" w:cs="Times New Roman"/>
                <w:color w:val="000000"/>
                <w:kern w:val="0"/>
                <w:sz w:val="24"/>
                <w:lang w:eastAsia="zh-CN"/>
              </w:rPr>
              <w:t>（</w:t>
            </w:r>
            <w:r>
              <w:rPr>
                <w:rFonts w:hint="eastAsia" w:ascii="Times New Roman" w:hAnsi="Times New Roman" w:cs="Times New Roman"/>
                <w:color w:val="000000"/>
                <w:kern w:val="0"/>
                <w:sz w:val="24"/>
                <w:lang w:val="en-US" w:eastAsia="zh-CN"/>
              </w:rPr>
              <w:t>一</w:t>
            </w:r>
            <w:r>
              <w:rPr>
                <w:rFonts w:hint="eastAsia" w:ascii="Times New Roman" w:hAnsi="Times New Roman" w:cs="Times New Roman"/>
                <w:color w:val="000000"/>
                <w:kern w:val="0"/>
                <w:sz w:val="24"/>
                <w:lang w:eastAsia="zh-CN"/>
              </w:rPr>
              <w:t>）</w:t>
            </w:r>
            <w:r>
              <w:rPr>
                <w:rFonts w:hint="default" w:ascii="Times New Roman" w:hAnsi="Times New Roman" w:eastAsia="仿宋_GB2312" w:cs="Times New Roman"/>
                <w:color w:val="000000"/>
                <w:kern w:val="0"/>
                <w:sz w:val="24"/>
              </w:rPr>
              <w:t>康复评价</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1.运动评价</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jc w:val="center"/>
        </w:trPr>
        <w:tc>
          <w:tcPr>
            <w:tcW w:w="114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1101001</w:t>
            </w:r>
          </w:p>
        </w:tc>
        <w:tc>
          <w:tcPr>
            <w:tcW w:w="14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床边简易肺功能测定</w:t>
            </w:r>
          </w:p>
        </w:tc>
        <w:tc>
          <w:tcPr>
            <w:tcW w:w="795"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45 </w:t>
            </w:r>
          </w:p>
        </w:tc>
        <w:tc>
          <w:tcPr>
            <w:tcW w:w="210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含肺活量、用力肺活量、呼气流速、最大通气量测定</w:t>
            </w:r>
          </w:p>
        </w:tc>
        <w:tc>
          <w:tcPr>
            <w:tcW w:w="104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310602001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1101002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呼吸肌功能测定</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79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含最大吸气、呼气压、膈肌功能测定</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310602003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1101003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不自主运动评定量表（AIMS）</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18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含面口部、肢体、躯干、牙齿及整体不自主运动状态测定</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311501001-11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1101004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平衡功能检查（徒手）</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18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半定量平衡三级分级法</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340200001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1101005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平衡功能评定（电脑）</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55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定量平衡评定，含静态平衡下的重心移动类型、轨迹、重心摆动范围及动态平衡下的稳定极限等</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340200002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1101006</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6分钟步行测试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25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含6分钟步行的距离及步行中出现的不适症状</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1101007</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步态分析检查</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23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含步行能力及异常步态特征</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340200007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1101008</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心功能康复评定</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45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含活动平板试验及功率自行车试验</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340200017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1101009</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肺功能康复评定</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45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含呼吸症状主观检查及肺功能客观检查</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340200018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1101010</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Fugl-Meyer评价（FMA）</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44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含偏瘫侧上、下肢运动控制评价</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1101011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脊髓损伤ASIA评价</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44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含关键肌、感觉关键点检查</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1101012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肢体形态测量</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22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含肢体外观、长度、肌围度检查</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1101013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Brunnstrom评价（BRSS）</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44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含偏瘫侧上、下肢运动控制评价</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1101014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徒手肌力检查</w:t>
            </w:r>
            <w:r>
              <w:rPr>
                <w:rFonts w:hint="default" w:ascii="Times New Roman" w:hAnsi="Times New Roman" w:eastAsia="仿宋_GB2312" w:cs="Times New Roman"/>
                <w:color w:val="000000"/>
                <w:kern w:val="0"/>
                <w:sz w:val="22"/>
                <w:szCs w:val="22"/>
              </w:rPr>
              <w:t>（MMT）</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22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肌力Lovett评价</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1101015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肌痉挛评价</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33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含肌紧张、腱反射检查</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1101016</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电脑等长肌力评价</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次/单组肌肉</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48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包括主要肌群电脑等长肌力评价</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1101017</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关节活动度检查（单肢体）</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31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含单肢体各关节的屈曲伸展、内收外展及旋转</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1101018</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关节活动度检查（单关节）</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9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含关节的屈曲伸展、内收外展及旋转</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1101019</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协调功能评价</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次/单肢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22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含上、下肢协调功能评价</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1101020</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感觉评价</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22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含深、浅感觉功能评价</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1101021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目测类比疼痛评分（VAS）</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22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含疼痛部位、性质、程度、诱发因素</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1101022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等速肌力测试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次/单关节</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115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含不同角速度下的等速测试</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2.作业评价</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1102001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日常生活能力评定</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27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包括Barthel指数（BI）、改良Barthel指数（MBI）量表等</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功能独立程度评定</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340200003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1102002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手功能评定</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18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包括徒手和仪器</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340200005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3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1102003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认知功能检查</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41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包括计算、定向、思维推理等检查和评定</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除外记忆力、注意力、思维能力等的专项评定</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340200012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1102004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记忆力评定</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45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包括成人记忆成套测试、Rivermead行为记忆测试等</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340200013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1102005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失认失用评定</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41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包括失认症、失用症评定</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340200014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1"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1102006</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记忆广度检查</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9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340200016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3"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1102007</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生存质量评价（QOL）</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37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含生理、心理、人际关系、周围环境等方面</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1102008</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家务能力评价</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30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含备餐、清洁、整理房间、洗衣、家庭预算、购物等内容</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1102009</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瘢痕测定(温哥华瘢痕评定量表)</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71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含瘢痕厚度、颜色、血管分布、硬度等</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8"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1102010</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瘢痕治疗压力测定</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57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含使用压力垫时和不使用压力垫时</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1102011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功能独立程度评定</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37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包括功能独立性评定（FIM）和功能综合评定量表（FCA）</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1102012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辅助器具使用评价</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19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包括辅助器具需求评定、适合度评定和使用评定</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1102013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家居环境评估（实地）</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113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含出入口、通道、门、厕所、厨房、卧室、客厅、开关、手柄、物品放置等方面评定</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3.言语评价</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0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1103001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言语能力评定</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41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包括一般失语症检查、构音障碍检查、言语失用检查</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340200008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1103002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失语症检查</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73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包括听说读写各项语言功能的检查；含检查量表、检查用具</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340200009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1103003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口吃检查</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45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含检查量表、检查用具</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340200010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1103004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吞咽功能障碍评定</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45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含检查量表、检查用具</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340200011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1103005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100单词听理解检查</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54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含检查量表、检查用具</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1103006</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100单词命名检查</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54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含检查量表、检查用具</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1103007</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实用性语言交流能力检查（CADL）</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59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含专业检查量表、检查用具</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1103008</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表征（标记）测验</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43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含专业检查量表、检查用具</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4.心理评价</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0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1104001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宗(Zung)氏焦虑自评量表</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14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含专业评定及电脑分析报告</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311501001-1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1104002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宗(Zung)氏抑郁自评量表</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14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含专业评定及电脑分析报告</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311501001-2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1104003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汉密尔顿焦虑量表</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14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含专业评定及电脑分析报告</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311501001-3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1104004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汉密尔顿抑郁量表</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14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含专业评定及电脑分析报告</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311501001-4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1104005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躁狂状态评定量表</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14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含专业评定及电脑分析报告</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311501001-6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1104006</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简明精神病评定量表(BPRS)</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32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含专业评定及电脑分析报告</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311501001-7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1104007</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气质量表</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18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含专业评定及电脑分析报告</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311501001-14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110408</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简明心理状况测验(MMSE) </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42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含专业评定及电脑分析报告</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311501001-17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1104009</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瞬时记忆测验  </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11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含专业评定及电脑分析报告</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311501001-18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7"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1104010</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长谷川痴呆测验</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11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含专业评定量表</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311501001-19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1104011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认知方式测定</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32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含专业评定及电脑分析报告</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311501001-20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1104012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检查空间位置记忆广度测定</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18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含专业评定及检查用具、电脑分析报告</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311501001-30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1104013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绘人智力测定          </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21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含专业评定图表、电脑分析报告</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311501001-36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1104014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阳性和阴性精神症状评定</w:t>
            </w:r>
            <w:r>
              <w:rPr>
                <w:rFonts w:hint="eastAsia" w:ascii="Times New Roman" w:hAnsi="Times New Roman" w:cs="Times New Roman"/>
                <w:color w:val="000000"/>
                <w:kern w:val="0"/>
                <w:sz w:val="24"/>
                <w:lang w:eastAsia="zh-CN"/>
              </w:rPr>
              <w:t>（</w:t>
            </w:r>
            <w:r>
              <w:rPr>
                <w:rFonts w:hint="default" w:ascii="Times New Roman" w:hAnsi="Times New Roman" w:eastAsia="仿宋_GB2312" w:cs="Times New Roman"/>
                <w:color w:val="000000"/>
                <w:kern w:val="0"/>
                <w:sz w:val="24"/>
              </w:rPr>
              <w:t>PANSS</w:t>
            </w:r>
            <w:r>
              <w:rPr>
                <w:rFonts w:hint="eastAsia" w:ascii="Times New Roman" w:hAnsi="Times New Roman" w:cs="Times New Roman"/>
                <w:color w:val="000000"/>
                <w:kern w:val="0"/>
                <w:sz w:val="24"/>
                <w:lang w:eastAsia="zh-CN"/>
              </w:rPr>
              <w:t>）</w:t>
            </w:r>
            <w:r>
              <w:rPr>
                <w:rFonts w:hint="default" w:ascii="Times New Roman" w:hAnsi="Times New Roman" w:eastAsia="仿宋_GB2312" w:cs="Times New Roman"/>
                <w:color w:val="000000"/>
                <w:kern w:val="0"/>
                <w:sz w:val="24"/>
              </w:rPr>
              <w:t>量表</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18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含专业评定及电脑分析报告</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311501002-1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1104015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强迫症状问卷  </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18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含专业评定及电脑分析报告</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311501002-5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1104016</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现状精神病症状检查</w:t>
            </w:r>
            <w:r>
              <w:rPr>
                <w:rFonts w:hint="eastAsia" w:ascii="Times New Roman" w:hAnsi="Times New Roman" w:cs="Times New Roman"/>
                <w:color w:val="000000"/>
                <w:kern w:val="0"/>
                <w:sz w:val="24"/>
                <w:lang w:eastAsia="zh-CN"/>
              </w:rPr>
              <w:t>（</w:t>
            </w:r>
            <w:r>
              <w:rPr>
                <w:rFonts w:hint="default" w:ascii="Times New Roman" w:hAnsi="Times New Roman" w:eastAsia="仿宋_GB2312" w:cs="Times New Roman"/>
                <w:color w:val="000000"/>
                <w:kern w:val="0"/>
                <w:sz w:val="24"/>
              </w:rPr>
              <w:t>PSE</w:t>
            </w:r>
            <w:r>
              <w:rPr>
                <w:rFonts w:hint="eastAsia" w:ascii="Times New Roman" w:hAnsi="Times New Roman" w:cs="Times New Roman"/>
                <w:color w:val="000000"/>
                <w:kern w:val="0"/>
                <w:sz w:val="24"/>
                <w:lang w:eastAsia="zh-CN"/>
              </w:rPr>
              <w:t>）</w:t>
            </w:r>
            <w:r>
              <w:rPr>
                <w:rFonts w:hint="default" w:ascii="Times New Roman" w:hAnsi="Times New Roman" w:eastAsia="仿宋_GB2312" w:cs="Times New Roman"/>
                <w:color w:val="000000"/>
                <w:kern w:val="0"/>
                <w:sz w:val="24"/>
              </w:rPr>
              <w:t xml:space="preserve"> </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11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含专业评定及电脑分析报告</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311501003-4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1104017</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症状自评量表</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21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含专业评定及电脑分析报告</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311501003-5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1104018</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成人韦氏记忆测验</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73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含专业评定及检查用具、电脑分析报告</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311501003-7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1104019</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韦氏智力测验   </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109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含专业评定及检查用具、电脑分析报告</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311501003-9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1104020</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明尼苏达多相个性测验</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32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含专业评定及电脑分析报告</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311501003-12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1104021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艾森克个性测验</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21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含专业评定及电脑分析报告</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311501003-13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1104022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卡特尔16项人格测验 </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42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含专业评定及电脑分析报告</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311501003-14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1104023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A型行为量表</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42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含专业评定及电脑分析报告</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1104024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匹茨堡睡眠质量指数    </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42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含专业评定及电脑分析报告</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1104025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孤独量表（UCLA）</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69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含专业评定及电脑分析报告</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1104034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防御方式问卷（DSQ）</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69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含专业评定及电脑分析报告</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（二）康复治疗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1.物理治疗Ⅰ（运动治疗）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1201001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烧伤后功能训练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每个部位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18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含关节活动度维持及改善性训练，肌力训练，机体活动水平提高训练等</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311400055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2"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1201002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运动疗法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15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包括全身肌力训练、各关节活动度训练、徒手体操、器械训练、步态平衡功能训练</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340200020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1201003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减重支持系统训练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27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含减重下转移、平衡及步行训练</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340200021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1201004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电动起立床训练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27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含多个角度的站立训练</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340200023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1201005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平衡功能训练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14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含多个体位的平衡训练</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340200024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1201006</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关节松动训练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27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包括小关节(指关节)、大关节</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340200026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1201007</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有氧训练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18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包括功率自行车（上、下肢）、跑步机等多种强度选择性有氧训练</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340200027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1201008</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等速肌力训练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18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包括不同速度，不同阻力选择性的等速肌力训练</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340200030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1201009</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等张肌力训练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20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含多种形式的等张抗阻肌力训练</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3"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1201010</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牵伸技术</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次/单组肌肉</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22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含四肢及躯干各肌群</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1201011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促通技术</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44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选择性应用Brunnstrom、Bobath、PNF等神经发育疗法等</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1201012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转移训练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22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含各个体位、位置间的相互转移</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1201013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呼吸训练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33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含呼吸肌肌力训练、呼吸方式纠正训练等</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1201014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悬吊网架训练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25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包括网架下的减重训练、抗阻训练、平衡训练等</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1201015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步行及步态训练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31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包括步行能力训练及步态纠正训练</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1201016</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CPM（持续性被动运动）</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次/单关节</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56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包括肩、肘、腕、髋、膝、踝关节持续性被动运动等</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1201017</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等长肌力训练（电脑）</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次/单组肌肉</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48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包括各主要肌群多角度选择性的等长肌力训练</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1201018</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平衡功能训练（电脑）</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90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含坐位、站立位平衡训练</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1201019</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协调功能训练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22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含不同体位下的协调训练</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1201020</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床边肢体运动治疗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16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含床边指导下的相关运动治疗</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2.物理治疗Ⅱ（理疗）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0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6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1202001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红外线治疗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每个照射区</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11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包括远、近红外线：TDP、近红外线气功治疗、红外线真空拔罐治疗、红外线光浴治疗、远红外医疗舱治疗</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340100001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1202002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可见光治疗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每个照射区</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10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包括红光照射、蓝光照射、蓝紫光照射、太阳灯照射</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340100002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8"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1202003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偏振光照射</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每个照射区</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11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340100003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1202004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紫外线治疗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每个照射区</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11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包括长、中、短波紫外线、低压紫外线、高压紫外线、水冷式、导子紫外线、生物剂量测定、光化学疗法</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340100004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3"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1202005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激光疗法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每个照射区</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27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包括原光束、散焦激光疗法</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340100005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1202006</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光敏疗法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每个照射区</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14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包括紫外线、激光</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340100006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3"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1202007</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电诊断</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20"/>
                <w:szCs w:val="20"/>
              </w:rPr>
              <w:t>每块肌肉或每条神经</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27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包括直流电检查、感应电检查、直流-感应电检查、时值检查、强度-频率曲线检查、中频脉冲电检查</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340100007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1202008</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直流电治疗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每部位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14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包括单纯直流电治疗、直流电药物离子导入治疗、直流电水浴治疗、(单、双、四槽浴)、电化学疗法</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340100008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3"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1202009</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低频脉冲电治疗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每部位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18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包括感应电治疗、神经肌肉电刺激治疗、间动电疗、经皮神经电刺激治疗、功能性电刺激治疗、温热电脉冲治疗、微机功能性电刺激治疗、痉挛肌电刺激治疗</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340100009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1202010</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中频脉冲电治疗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每部位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16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包括中频脉冲电治疗、音频电治疗、干扰电治疗、动态干扰电治疗、立体动态干扰电治疗、调制中频电治疗、电脑中频电治疗</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340100010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7"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1202011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共鸣火花治疗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每5分钟</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17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340100011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7"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1202012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超短波短波治疗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每部位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11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包括小功率超短波和短波、大功率超短波和短波、脉冲超短波和短波、体腔治疗</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340100012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1202013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微波治疗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每部位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13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包括分米波、厘米波、毫米波、微波组织凝固、体腔治疗</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340100013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1202014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射频电疗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21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包括大功率短波、分米波、厘米波</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340100014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1202015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静电治疗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每20-30分钟</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11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包括低压、高压静电治疗、高电位治疗</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340100015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1202016</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空气负离子治疗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每30分钟</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340100016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1202017</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超声波治疗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每5分钟</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13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包括单纯超声、超声药物透入、超声雾化</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340100017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1202018</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生物反馈疗法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32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包括肌电、皮温、皮电、脑电、心率各种生物反馈</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340100018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1202019</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磁疗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每20分钟</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5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包括脉冲式、交变等不同机型又分低频磁、高频磁及热点磁、强磁场刺激、热磁振</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340100019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1202020</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蜡疗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每部位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11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包括浸蜡、刷蜡、蜡敷</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340100021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1202021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泥疗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每部位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5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包括电泥疗、泥敷</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340100022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1202022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牵引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18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包括颈、腰椎土法牵引、电动牵引三维快速牵引</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340100023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1202023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气压治疗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每部位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18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包括肢体气压治疗、肢体正负压治疗</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340100024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1202024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冷疗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每部位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14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340100025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1202025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电按摩</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11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包括电动按摩、电热按摩、局部电按摩</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340100026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1202027</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尿失禁治疗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每部位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22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治疗电极</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1202028</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冲击波治疗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每部位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82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3.物理治疗Ⅲ（水疗）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0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1203001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水疗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每20分钟</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32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包括药物浸浴、气泡浴、哈伯特槽浴(8字槽)、旋涡浴(分上肢、下肢)</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340100020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1203002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水中运动疗法（一般）</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73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含水中牵伸、肌力、协调性等训练</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1203003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水中浸浴治疗（烧伤）</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113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含小创面简单处理</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药物</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1203004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水中运动疗法（烧伤）</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113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含水中牵伸、肌力、协调性等训练</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药物</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4.作业治疗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0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1204001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轮椅功能训练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18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含轮椅驱动、上下斜坡、跨跃障碍、转移等训练</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轮椅选择和改造</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340200022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1204002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手功能训练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18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包括手部感觉、握力、捏力、关节活动度、灵活性等训练</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支具</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340200025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1204003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文体训练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5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材料费</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340200028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6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1204004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作业疗法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18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包括日常生活活动训练、改善关节活动度的作业训练、增强肌力的作业训练、改善平衡能力的作业训练、改善灵活性的作业训练、减轻疼痛的作业训练、增强耐力的作业训练等</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自助具</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340200031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1204005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认知知觉功能障碍训练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36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340200038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1204006</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记忆训练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60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包括应用电脑辅助训练和面对面训练</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1204007</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注意力训练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60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包括应用电脑辅助训练和面对面训练</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1204008</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家务劳动训练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37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含备餐、清洗、室内清洁、整理房间、购物、家庭预算等</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1204009</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假肢使用训练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31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含假肢的控制和使用假肢进行日常活动</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1204011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家居环境改造</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113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含出入口、通道、门、厕所、厨房、卧室、客厅、开关、手柄、物品放置等方面</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材料及工程费用</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1204012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感觉训练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20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含感觉再教育、感觉再训练、感觉脱敏训练</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1204013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手工艺作业治疗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45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包括绳结、剪纸、插花、手工艺品制作等</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1204014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压力治疗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74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包括压力衣加压法和绷带加压法</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材料费</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1204015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支具制作  </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75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包括各种手及上肢支具的制作</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材料费</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1204016</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辅助器具使用</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天</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5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包括矫形器、轮椅、洗澡椅、坐便椅等辅助器具</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假肢使用训练</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1204017</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上肢功能训练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36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包括肌力、关节活动度、灵活性等训练</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1204018</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独立生活能力训练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27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包括生活自理能力训练和社会适应能力训练</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5.言语治疗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0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1205001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口吃训练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30分钟/次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45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包括言语节律与速度的训练、呼吸气流控制的训练</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340200033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1205002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言语训练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30分钟/次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45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包括听、说、读、写各项语言功能的训练</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340200034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1205003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构音障碍训练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36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包括发音训练、语音纠正训练</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340200036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1205004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吞咽功能障碍训练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18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含吞咽相关器官的功能训练</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340200037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1205005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电脑言语训练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60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含电脑训练软件</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1205006</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吞咽电刺激治疗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37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吞咽治疗仪</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电极片</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1206</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6.心理治疗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0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1206001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行为观察和治疗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15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对不良行为的观察及对患者的治疗性奖励</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311503008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1206002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工娱治疗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日</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5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包括各种文化活动、游戏和工艺活动等</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311503016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1206003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音乐治疗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11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含治疗音乐的选择和使用</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311503018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1206004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暗示治疗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11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含暗示用具的使用</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311503019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1206005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松弛治疗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11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独立、舒适安静环境下的松弛训练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311503020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1206006</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心理咨询</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半小时</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27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含针对性的咨询、指导、支持、解释等</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311503023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1206007</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心理治疗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半小时</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73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311503024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1206008</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催眠疗法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45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安静的环境下对患者的一种诱导暗示</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311503026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1206009</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森田疗法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23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适宜的环境下采取适当的活动</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311503027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1206010</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行为矫正治疗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日</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27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利用刺激物、奖励物对不良行为进行矫治</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311503028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1206011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厌恶治疗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32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能引起患者厌恶的感官刺激疗法</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311503029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7.中医诊疗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0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1207001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贴敷疗法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每个创面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12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含药物调配</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410000001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1207002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中药化腐清创术</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每个创面</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47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含药物调配</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410000002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1207003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中药涂擦治疗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10%体表面积</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18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含药物调配</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410000003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1207004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中药热奄包治疗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每个部位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15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含药物调配</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410000004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1207005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中药封包治疗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每个部位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19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含药物调配</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410000005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1207006</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中药熏洗治疗（局部）</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18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含药物调配</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410000006-1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1207007</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中药熏洗治疗（半身）</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36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含药物调配</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410000006-2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1207008</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中药熏洗治疗（全身）</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55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含药物调配</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410000006-3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1207009</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中药蒸汽浴治疗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45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含药物调配</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410000007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1207010</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中药熏药治疗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55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含药物调配</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410000009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1207011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赘生物中药腐蚀治疗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每个赘生物</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45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含药物调配</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410000010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1207012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挑治</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50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410000011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1207013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割治</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50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410000012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1207014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普通针刺</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五个穴位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14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包括体针、快速针、磁针、金针、姜针、药针等银针、神经干刺激疗法</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430000001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1207015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温针</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五个穴位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27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艾条</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430000002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1207016</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点穴治疗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五个穴位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18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430000003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1207017</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馋针</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每个部位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18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430000004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4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1207018</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微针针刺</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二个穴位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15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包括舌针、鼻针、腹针、腕踝针、手针、面针、口针、项针、夹脊针、脊俞针、足针、唇针、平衡针、对应点针法，第二掌骨疗法、手象针，足象针，人中针</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430000005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1207019</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锋钩针</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11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430000006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1207020</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头皮针</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15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430000007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1207021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眼针</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眼/次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14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430000008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1207022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梅花针</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18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磁圆针</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430000009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1207023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火针</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三个穴位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14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包括电火针</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430000010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1207024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埋针治疗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每个穴位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20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包括穴位包埋、穴位埋线、穴位结扎  穴位植线、皮内针</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药物</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430000011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1207025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耳针</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单耳</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14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包括耳穴压豆、耳穴埋针、磁珠压耳穴</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430000012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1207026</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芒针</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每个穴位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14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430000013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1207027</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针刺运动疗法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五个穴位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27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包括辅助运动、石氏醒脑开窍法</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430000014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1207028</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针刺麻醉</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100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430000015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1207029</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电针</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二个穴位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14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包括普通电针、电热针灸、电冷针灸</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430000016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1207030</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浮针</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一个穴位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14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430000017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1207031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微波针</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二个穴位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27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430000018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1207032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激光针</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二个穴位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18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激光穴位照射</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一次性光纤针</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430000019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1207033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磁热疗法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二个穴位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18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430000020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1207034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穴位注射</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二个穴位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14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穴位封闭</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药物</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430000022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1207035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穴位贴敷治疗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每个穴位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5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含药物调配及各种纳米、红外等穴位贴敷材料</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430000023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1207036</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子午流注开穴法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每个穴位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14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包括灵龟八法</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430000024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1207037</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经络穴位测评疗法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14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包括体穴、耳穴、经络测评、经络导评</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430000025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1207038</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灸法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两个穴位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18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包括艾条灸、艾柱灸、艾箱灸、天灸等</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440000001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1207039</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隔物灸法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两个穴位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18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包括隔姜灸、药饼灸、隔盐灸等 太乙神针、雷火针、雷火灸、节气灸</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药物</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440000002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1207040</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灯火灸</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两个穴位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11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440000003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1207041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拔罐疗法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3罐</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5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包括火罐、电火罐、闪罐、着罐、电罐、磁疗罐、真空拔罐、吸杯等</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440000004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1207042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药物罐</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单罐</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7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包括水罐、平衡火罐、平衡推拿火灌</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440000005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1207043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游走罐</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14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440000006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1207044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颈椎病推拿治疗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36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450000002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1207045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肩周炎推拿治疗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36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450000003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1207046</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网球肘推拿治疗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27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450000004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1207047</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急性腰扭伤推拿治疗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45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450000005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1207048</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腰椎间盘突出症推拿治疗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45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450000006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1207049</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膝关节骨性关节炎推拿治疗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27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手法治疗</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450000007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1207050</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其他推拿治疗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18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手法治疗</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450000009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1207051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小针刀治疗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45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470000005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1207052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中药硬膏贴敷治疗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18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药物</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470000010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1207053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刮痧治疗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每个部位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18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470000012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1207054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烫熨治疗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每个部位</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9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包括砭石热敷、药枕治疗</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470000013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1207055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足底反射治疗</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18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470000016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1"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（三）康复护理</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0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1300001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精神护理观察量表</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32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含量表</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311501002-6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1300002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膀胱功能训练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19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含饮水计划、盆底肌肉训练、尿意习惯训练、激发技术、Valsalva屏气法、Crede手法</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留置尿管、间歇导尿、清洁导尿、假性导尿</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1300003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膀胱容量测定</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21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含导尿</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一次性导尿包、尿管</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1300004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残余尿量测定</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25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含导尿</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一次性导尿包、尿管</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1300005</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体位护理</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天</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15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含防压疮护理、体位变更技术</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矫形器</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1300006</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综合康复护理（功能训练指导）</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28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含手功能、上肢功能、体力耐力、放松、平衡协调、呼吸、转移、吞咽、进食、言语、认知、康复辅助器具、感觉、ADL、手工艺、家务能力等康复延伸护理指导</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涉及各项康复治疗的操作</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1300007</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截肢残端皮损护理</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10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含健康指导、皮损处护理</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1300008</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清洁导尿训练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25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训练指导脊髓损伤膀胱功能障碍患者自我导尿</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6"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1300009</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烧伤皮肤护理</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19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含烧伤脱痂处理、皮肤瘙痒处理、创面干燥处理、烧伤五官护理</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1300010</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压力用品穿戴护理</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9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含弹力绷带的缠绕、压力衣压力套的穿戴、压力垫、热塑夹板的使用</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3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1300011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肠道功能训练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13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含排便操；腹部按摩；便意习惯训练、直肠直接刺激法</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饮食指导、灌肠</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14</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（四）其它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1401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1.康复病床费</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1"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1401001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特殊康复病房</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日</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84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适用于重度颅脑损伤合并精神行为障碍、生命体征不稳定需要监护患者、烧伤面积大于90%伴残创10%以上及其它特殊病情需要的患者</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1401002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双人房</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日</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50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适用于各种功能严重障碍及生活自理困难患者</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1401003</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三人以上</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日</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37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其它工伤患者</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1402</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2.救护车费</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b/>
                <w:bCs/>
                <w:kern w:val="0"/>
                <w:sz w:val="24"/>
              </w:rPr>
            </w:pPr>
            <w:r>
              <w:rPr>
                <w:rFonts w:hint="default" w:ascii="Times New Roman" w:hAnsi="Times New Roman" w:eastAsia="仿宋_GB2312" w:cs="Times New Roman"/>
                <w:b/>
                <w:bCs/>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5" w:hRule="atLeast"/>
          <w:jc w:val="center"/>
        </w:trPr>
        <w:tc>
          <w:tcPr>
            <w:tcW w:w="11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1402001</w:t>
            </w:r>
          </w:p>
        </w:tc>
        <w:tc>
          <w:tcPr>
            <w:tcW w:w="14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救护车费</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车/次</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xml:space="preserve">58 </w:t>
            </w:r>
          </w:p>
        </w:tc>
        <w:tc>
          <w:tcPr>
            <w:tcW w:w="2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适用于伤残等级为1-4级的工伤患者出入院；超过20公里以外，每超一公里加收3元，需要担架员提供抬护服务的加收20元</w:t>
            </w:r>
          </w:p>
        </w:tc>
        <w:tc>
          <w:tcPr>
            <w:tcW w:w="104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24"/>
              </w:rPr>
            </w:pPr>
            <w:r>
              <w:rPr>
                <w:rFonts w:hint="default" w:ascii="Times New Roman" w:hAnsi="Times New Roman" w:eastAsia="仿宋_GB2312" w:cs="Times New Roman"/>
                <w:kern w:val="0"/>
                <w:sz w:val="24"/>
              </w:rPr>
              <w:t>　</w:t>
            </w:r>
          </w:p>
        </w:tc>
        <w:tc>
          <w:tcPr>
            <w:tcW w:w="9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bl>
    <w:p>
      <w:pPr>
        <w:keepNext w:val="0"/>
        <w:keepLines w:val="0"/>
        <w:pageBreakBefore w:val="0"/>
        <w:widowControl w:val="0"/>
        <w:kinsoku/>
        <w:wordWrap/>
        <w:overflowPunct/>
        <w:topLinePunct w:val="0"/>
        <w:autoSpaceDE/>
        <w:autoSpaceDN/>
        <w:bidi w:val="0"/>
        <w:adjustRightInd/>
        <w:snapToGrid/>
        <w:spacing w:line="456" w:lineRule="exact"/>
        <w:textAlignment w:val="auto"/>
        <w:rPr>
          <w:rFonts w:hint="eastAsia" w:ascii="方正书宋_GBK" w:hAnsi="方正书宋_GBK" w:eastAsia="方正书宋_GBK" w:cs="方正书宋_GBK"/>
          <w:sz w:val="24"/>
          <w:szCs w:val="24"/>
        </w:rPr>
      </w:pPr>
      <w:r>
        <w:rPr>
          <w:rFonts w:hint="eastAsia" w:ascii="黑体" w:hAnsi="黑体" w:eastAsia="黑体" w:cs="黑体"/>
          <w:sz w:val="24"/>
          <w:szCs w:val="24"/>
          <w:lang w:eastAsia="zh-CN"/>
        </w:rPr>
        <w:t>　　</w:t>
      </w:r>
      <w:r>
        <w:rPr>
          <w:rFonts w:hint="eastAsia" w:ascii="黑体" w:hAnsi="黑体" w:eastAsia="黑体" w:cs="黑体"/>
          <w:sz w:val="24"/>
          <w:szCs w:val="24"/>
        </w:rPr>
        <w:t>二、职业社会康复服务类</w:t>
      </w:r>
    </w:p>
    <w:p>
      <w:pPr>
        <w:keepNext w:val="0"/>
        <w:keepLines w:val="0"/>
        <w:pageBreakBefore w:val="0"/>
        <w:widowControl w:val="0"/>
        <w:kinsoku/>
        <w:wordWrap/>
        <w:overflowPunct/>
        <w:topLinePunct w:val="0"/>
        <w:autoSpaceDE/>
        <w:autoSpaceDN/>
        <w:bidi w:val="0"/>
        <w:adjustRightInd/>
        <w:snapToGrid/>
        <w:spacing w:line="456" w:lineRule="exact"/>
        <w:ind w:firstLine="480" w:firstLineChars="200"/>
        <w:textAlignment w:val="auto"/>
        <w:rPr>
          <w:rFonts w:hint="eastAsia" w:ascii="方正书宋_GBK" w:hAnsi="方正书宋_GBK" w:eastAsia="方正书宋_GBK" w:cs="方正书宋_GBK"/>
          <w:sz w:val="24"/>
          <w:szCs w:val="24"/>
        </w:rPr>
      </w:pPr>
      <w:r>
        <w:rPr>
          <w:rFonts w:hint="eastAsia" w:ascii="方正书宋_GBK" w:hAnsi="方正书宋_GBK" w:eastAsia="方正书宋_GBK" w:cs="方正书宋_GBK"/>
          <w:sz w:val="24"/>
          <w:szCs w:val="24"/>
        </w:rPr>
        <w:t>本类说明：</w:t>
      </w:r>
    </w:p>
    <w:p>
      <w:pPr>
        <w:keepNext w:val="0"/>
        <w:keepLines w:val="0"/>
        <w:pageBreakBefore w:val="0"/>
        <w:widowControl w:val="0"/>
        <w:kinsoku/>
        <w:wordWrap/>
        <w:overflowPunct/>
        <w:topLinePunct w:val="0"/>
        <w:autoSpaceDE/>
        <w:autoSpaceDN/>
        <w:bidi w:val="0"/>
        <w:adjustRightInd/>
        <w:snapToGrid/>
        <w:spacing w:line="456" w:lineRule="exact"/>
        <w:ind w:firstLine="480" w:firstLineChars="200"/>
        <w:textAlignment w:val="auto"/>
        <w:rPr>
          <w:rFonts w:hint="eastAsia"/>
        </w:rPr>
      </w:pPr>
      <w:bookmarkStart w:id="0" w:name="_GoBack"/>
      <w:bookmarkEnd w:id="0"/>
      <w:r>
        <w:rPr>
          <w:rFonts w:hint="eastAsia" w:ascii="方正书宋_GBK" w:hAnsi="方正书宋_GBK" w:eastAsia="方正书宋_GBK" w:cs="方正书宋_GBK"/>
          <w:sz w:val="24"/>
          <w:szCs w:val="24"/>
          <w:lang w:val="en-US" w:eastAsia="zh-CN"/>
        </w:rPr>
        <w:t xml:space="preserve">1. </w:t>
      </w:r>
      <w:r>
        <w:rPr>
          <w:rFonts w:hint="eastAsia" w:ascii="方正书宋_GBK" w:hAnsi="方正书宋_GBK" w:eastAsia="方正书宋_GBK" w:cs="方正书宋_GBK"/>
          <w:sz w:val="24"/>
          <w:szCs w:val="24"/>
        </w:rPr>
        <w:t>职业社会康复服务类包括评估和治疗训练两类，其中：评估17项，治疗训练19项，共36项。</w:t>
      </w:r>
    </w:p>
    <w:p>
      <w:pPr>
        <w:keepNext w:val="0"/>
        <w:keepLines w:val="0"/>
        <w:pageBreakBefore w:val="0"/>
        <w:widowControl w:val="0"/>
        <w:numPr>
          <w:numId w:val="0"/>
        </w:numPr>
        <w:kinsoku/>
        <w:wordWrap/>
        <w:overflowPunct/>
        <w:topLinePunct w:val="0"/>
        <w:autoSpaceDE/>
        <w:autoSpaceDN/>
        <w:bidi w:val="0"/>
        <w:adjustRightInd/>
        <w:snapToGrid/>
        <w:spacing w:line="456" w:lineRule="exact"/>
        <w:textAlignment w:val="auto"/>
        <w:rPr>
          <w:rFonts w:hint="eastAsia"/>
        </w:rPr>
      </w:pPr>
      <w:r>
        <w:rPr>
          <w:rFonts w:hint="eastAsia" w:ascii="方正书宋_GBK" w:hAnsi="方正书宋_GBK" w:eastAsia="方正书宋_GBK" w:cs="方正书宋_GBK"/>
          <w:sz w:val="24"/>
          <w:szCs w:val="24"/>
          <w:lang w:eastAsia="zh-CN"/>
        </w:rPr>
        <w:t>　　</w:t>
      </w:r>
      <w:r>
        <w:rPr>
          <w:rFonts w:hint="eastAsia" w:ascii="方正书宋_GBK" w:hAnsi="方正书宋_GBK" w:eastAsia="方正书宋_GBK" w:cs="方正书宋_GBK"/>
          <w:sz w:val="24"/>
          <w:szCs w:val="24"/>
          <w:lang w:val="en-US" w:eastAsia="zh-CN"/>
        </w:rPr>
        <w:t xml:space="preserve">2. </w:t>
      </w:r>
      <w:r>
        <w:rPr>
          <w:rFonts w:hint="eastAsia" w:ascii="方正书宋_GBK" w:hAnsi="方正书宋_GBK" w:eastAsia="方正书宋_GBK" w:cs="方正书宋_GBK"/>
          <w:sz w:val="24"/>
          <w:szCs w:val="24"/>
        </w:rPr>
        <w:t>综合国内外各大职业康复机构服务项目而制定，基本涵盖了工伤伤残患者职业社会康复服务所需的各种评价与治疗训练项目。</w:t>
      </w:r>
    </w:p>
    <w:tbl>
      <w:tblPr>
        <w:tblStyle w:val="3"/>
        <w:tblW w:w="88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55"/>
        <w:gridCol w:w="1440"/>
        <w:gridCol w:w="795"/>
        <w:gridCol w:w="1290"/>
        <w:gridCol w:w="2070"/>
        <w:gridCol w:w="1080"/>
        <w:gridCol w:w="1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2" w:hRule="atLeast"/>
          <w:tblHeader/>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项目</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编码</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项目名称</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计价</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单位</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b/>
                <w:bCs/>
                <w:color w:val="000000"/>
                <w:kern w:val="0"/>
                <w:sz w:val="24"/>
                <w:lang w:eastAsia="zh-CN"/>
              </w:rPr>
            </w:pPr>
            <w:r>
              <w:rPr>
                <w:rFonts w:hint="default" w:ascii="Times New Roman" w:hAnsi="Times New Roman" w:eastAsia="仿宋_GB2312" w:cs="Times New Roman"/>
                <w:b/>
                <w:bCs/>
                <w:color w:val="000000"/>
                <w:kern w:val="0"/>
                <w:sz w:val="24"/>
              </w:rPr>
              <w:t>支付标准</w:t>
            </w:r>
            <w:r>
              <w:rPr>
                <w:rFonts w:hint="eastAsia" w:ascii="Times New Roman" w:hAnsi="Times New Roman" w:cs="Times New Roman"/>
                <w:b/>
                <w:bCs/>
                <w:color w:val="000000"/>
                <w:kern w:val="0"/>
                <w:sz w:val="24"/>
                <w:lang w:eastAsia="zh-CN"/>
              </w:rPr>
              <w:t>（</w:t>
            </w:r>
            <w:r>
              <w:rPr>
                <w:rFonts w:hint="eastAsia" w:ascii="Times New Roman" w:hAnsi="Times New Roman" w:cs="Times New Roman"/>
                <w:b/>
                <w:bCs/>
                <w:color w:val="000000"/>
                <w:kern w:val="0"/>
                <w:sz w:val="24"/>
                <w:lang w:val="en-US" w:eastAsia="zh-CN"/>
              </w:rPr>
              <w:t>元</w:t>
            </w:r>
            <w:r>
              <w:rPr>
                <w:rFonts w:hint="eastAsia" w:ascii="Times New Roman" w:hAnsi="Times New Roman" w:cs="Times New Roman"/>
                <w:b/>
                <w:bCs/>
                <w:color w:val="000000"/>
                <w:kern w:val="0"/>
                <w:sz w:val="24"/>
                <w:lang w:eastAsia="zh-CN"/>
              </w:rPr>
              <w:t>）</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项目内涵</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除外</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内容</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b/>
                <w:bCs/>
                <w:color w:val="000000"/>
                <w:kern w:val="0"/>
                <w:sz w:val="24"/>
              </w:rPr>
            </w:pPr>
            <w:r>
              <w:rPr>
                <w:rFonts w:hint="default" w:ascii="Times New Roman" w:hAnsi="Times New Roman" w:eastAsia="仿宋_GB2312" w:cs="Times New Roman"/>
                <w:b/>
                <w:bCs/>
                <w:color w:val="000000"/>
                <w:kern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21</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eastAsia" w:ascii="Times New Roman" w:hAnsi="Times New Roman" w:cs="Times New Roman"/>
                <w:color w:val="000000"/>
                <w:kern w:val="0"/>
                <w:sz w:val="24"/>
                <w:lang w:eastAsia="zh-CN"/>
              </w:rPr>
              <w:t>（</w:t>
            </w:r>
            <w:r>
              <w:rPr>
                <w:rFonts w:hint="eastAsia" w:ascii="Times New Roman" w:hAnsi="Times New Roman" w:cs="Times New Roman"/>
                <w:color w:val="000000"/>
                <w:kern w:val="0"/>
                <w:sz w:val="24"/>
                <w:lang w:val="en-US" w:eastAsia="zh-CN"/>
              </w:rPr>
              <w:t>一</w:t>
            </w:r>
            <w:r>
              <w:rPr>
                <w:rFonts w:hint="eastAsia" w:ascii="Times New Roman" w:hAnsi="Times New Roman" w:cs="Times New Roman"/>
                <w:color w:val="000000"/>
                <w:kern w:val="0"/>
                <w:sz w:val="24"/>
                <w:lang w:eastAsia="zh-CN"/>
              </w:rPr>
              <w:t>）</w:t>
            </w:r>
            <w:r>
              <w:rPr>
                <w:rFonts w:hint="default" w:ascii="Times New Roman" w:hAnsi="Times New Roman" w:eastAsia="仿宋_GB2312" w:cs="Times New Roman"/>
                <w:color w:val="000000"/>
                <w:kern w:val="0"/>
                <w:sz w:val="24"/>
              </w:rPr>
              <w:t>评估类</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5"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2100001</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职业能力评定</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45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评估患者能否重返原工作岗位或可以从事某项工作</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340200015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3"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2100002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霍兰德职业倾向测验量表    </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79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包括专业评定量表</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15"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2100003</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工作模拟评估</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126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模拟受伤前工作，评估患者当前的躯体功能</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8"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2100004</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工伤职工职业调查</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19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工伤职工一般职业相关资料收集与调查</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0"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2100005</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就业意愿评估</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37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应用林氏就业准备量表测量</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2100006</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主动用力一致性评估</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63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标准化的进口仪器测试</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2100007</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腰背功能评估</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37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腰背功能自评量表</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0"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2100008</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疼痛信念评估</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37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疼痛信念自评量表</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2100009</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工作压力评估</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37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工作压力评估量表</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5"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2100010</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工作满意度评估</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37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工作满意度评估量表</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5"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2100011</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功能性能力评价</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162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系统评估工伤职工的功能程度，评估范围包括其体能、智能、心理、情绪及工作环境方面</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0"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2100012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工作需求分析</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19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评估工伤职工某一特定工种的工作需求，以评估工人能否重返原工作岗位</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0"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2100013</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现场工作分析评估</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298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评估工伤职工能否安全返回原工作环境、评估工作任务、人体功效学，根据评估结果，作出工伤预防、职务调整等建议</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2100014</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职业健康状况调查</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38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SF-36简明健康状况调查表</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2100015</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创伤后应激障碍评估</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38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评估工伤造成的创伤压力</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5"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2100016</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家居适应评估</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90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家庭环境支持与家庭生活适应能力判断</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2100017</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自我效能调查</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37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分析工伤者自我效能</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（二）治疗训练类</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0"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2200001</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职业功能训练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27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根据工伤职工可能从事的工作，分解出每一个工作任务，有针对性地进行训练</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340200032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5"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2200002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职前训练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项/次</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79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根据工伤职工原工种设定，包括金工、木工、电工、机械维修工、电器维修工、司机、铆工、焊工、钳工、管工、建筑工、操作工、厨工、清洁工、护工、仓管员、文员等</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7"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2200003</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工作强化训练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81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根据工伤职工工作能力要求，选择针对性的项目，进行肌肉力量、柔韧性、灵活性的强化训练，包括工作灵活性训练、耐力训练、协调性训练等</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83"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2200004</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工作模拟训练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81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模拟不同工作任务及其工作环境，在尽量接近实际工作情况下，训练工伤职工工作能力与工作行为</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2200005</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工作仿真训练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37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针对单一工作任务设计仿真训练</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0"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2200006</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工作行为教育</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节</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19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调适或修正工伤职工的工作行为，转变角色概念，为返回工作岗位做准备</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2"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2200007</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就业咨询与指导</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37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根据工伤职工自身特点,选择适合的职业岗位,并进行科学配对,提高工伤职工就业积极性</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55"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2200008</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求职面试技巧</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节</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19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协助工伤职工进行求职，包括求职申请书写、履历表填写、面试、会谈技巧等</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5"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2200009</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电脑技能培训</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40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一般计算机知识、打字、互联网知识、文书工作、图片处理、网页制作、电脑编程</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2200010</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手工技能培训</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48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手工制作</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5"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2200011</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工作职务重整</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37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根据工伤职工功能状况，选择适当的工作方法、工作程序、工具或使用辅助技术，加以训练，促进工伤职工重返工作岗位</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12"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2200012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康复辅导</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27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以促进工伤职工重返工作及社会为目标，解决工伤职工的情绪、心理或社会适应问题</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5"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2200013</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心理社会适应与调整</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节</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24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改善和提高工伤后社会适应行为与能力及压力舒缓与处理</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5"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2200014</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沟通技巧训练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节</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24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改善人际关系，提高个人工作生活适应能力</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5"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2200015</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家居环境无障碍改造</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113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根据功能及社区家庭环境，因地制宜制定家居畅达改造方案</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5"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2200016</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工作安置协调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45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协助工伤者成功返回工作岗位，适应工作岗位的要求</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2200017</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重返社区跟进协调</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113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协助工伤职工适应社区生活</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5"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2200018</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长期病患照顾者指导</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37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协助需要长期照顾的工伤职工家属适应社区生活</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70" w:hRule="atLeast"/>
          <w:jc w:val="center"/>
        </w:trPr>
        <w:tc>
          <w:tcPr>
            <w:tcW w:w="115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2200019</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家庭康复技巧指导</w:t>
            </w:r>
          </w:p>
        </w:tc>
        <w:tc>
          <w:tcPr>
            <w:tcW w:w="7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次</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xml:space="preserve">37 </w:t>
            </w:r>
          </w:p>
        </w:tc>
        <w:tc>
          <w:tcPr>
            <w:tcW w:w="20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工伤职工出院后的家庭康复计划与具体技术的指导</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c>
          <w:tcPr>
            <w:tcW w:w="10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　</w:t>
            </w:r>
          </w:p>
        </w:tc>
      </w:tr>
    </w:tbl>
    <w:p>
      <w:pPr>
        <w:pStyle w:val="2"/>
        <w:keepNext/>
        <w:keepLines/>
        <w:pageBreakBefore w:val="0"/>
        <w:widowControl w:val="0"/>
        <w:kinsoku/>
        <w:wordWrap/>
        <w:overflowPunct/>
        <w:topLinePunct w:val="0"/>
        <w:autoSpaceDE/>
        <w:autoSpaceDN/>
        <w:bidi w:val="0"/>
        <w:adjustRightInd/>
        <w:snapToGrid/>
        <w:spacing w:line="456" w:lineRule="exact"/>
        <w:textAlignment w:val="auto"/>
        <w:rPr>
          <w:rFonts w:hint="eastAsia"/>
          <w:lang w:val="en-US" w:eastAsia="zh-CN"/>
        </w:rPr>
      </w:pPr>
    </w:p>
    <w:sectPr>
      <w:pgSz w:w="11906" w:h="16838"/>
      <w:pgMar w:top="2239" w:right="1587" w:bottom="209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983638"/>
    <w:multiLevelType w:val="singleLevel"/>
    <w:tmpl w:val="7F98363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5MjFlZTA4YWQzODNhNjgxNGE3MWU0MWFjMmQ2MjEifQ=="/>
  </w:docVars>
  <w:rsids>
    <w:rsidRoot w:val="74D14C4F"/>
    <w:rsid w:val="00C44682"/>
    <w:rsid w:val="037029CD"/>
    <w:rsid w:val="05E03D0C"/>
    <w:rsid w:val="073322FD"/>
    <w:rsid w:val="0A4A00D3"/>
    <w:rsid w:val="0C252478"/>
    <w:rsid w:val="0DA10224"/>
    <w:rsid w:val="0EB06160"/>
    <w:rsid w:val="10B22749"/>
    <w:rsid w:val="113019E0"/>
    <w:rsid w:val="14741474"/>
    <w:rsid w:val="15471495"/>
    <w:rsid w:val="15E038B4"/>
    <w:rsid w:val="162163A6"/>
    <w:rsid w:val="16F969DB"/>
    <w:rsid w:val="1A424C69"/>
    <w:rsid w:val="1B83540D"/>
    <w:rsid w:val="1DAA3CC0"/>
    <w:rsid w:val="20C932CD"/>
    <w:rsid w:val="23490CEA"/>
    <w:rsid w:val="23E943CD"/>
    <w:rsid w:val="24F66C50"/>
    <w:rsid w:val="25F413E1"/>
    <w:rsid w:val="26B03D63"/>
    <w:rsid w:val="2AC3279B"/>
    <w:rsid w:val="2D5B1D46"/>
    <w:rsid w:val="2D687FBF"/>
    <w:rsid w:val="2DBF295F"/>
    <w:rsid w:val="2EC76F67"/>
    <w:rsid w:val="30226B4B"/>
    <w:rsid w:val="314764A2"/>
    <w:rsid w:val="31571E34"/>
    <w:rsid w:val="337B475C"/>
    <w:rsid w:val="33D761B3"/>
    <w:rsid w:val="344E65B2"/>
    <w:rsid w:val="36453593"/>
    <w:rsid w:val="36E13FA6"/>
    <w:rsid w:val="381B3566"/>
    <w:rsid w:val="394B561D"/>
    <w:rsid w:val="3A0E709D"/>
    <w:rsid w:val="3AB06AD5"/>
    <w:rsid w:val="3BA732C5"/>
    <w:rsid w:val="3EF472CA"/>
    <w:rsid w:val="405520E1"/>
    <w:rsid w:val="41BA3087"/>
    <w:rsid w:val="42E07974"/>
    <w:rsid w:val="444A044A"/>
    <w:rsid w:val="45F67697"/>
    <w:rsid w:val="4B925473"/>
    <w:rsid w:val="4C7107E7"/>
    <w:rsid w:val="4C885B30"/>
    <w:rsid w:val="4E067654"/>
    <w:rsid w:val="4E191136"/>
    <w:rsid w:val="4E6F5138"/>
    <w:rsid w:val="52C02805"/>
    <w:rsid w:val="532B15F9"/>
    <w:rsid w:val="532E4705"/>
    <w:rsid w:val="54242AAF"/>
    <w:rsid w:val="5600138F"/>
    <w:rsid w:val="566E71A6"/>
    <w:rsid w:val="56C711B5"/>
    <w:rsid w:val="58B20AFC"/>
    <w:rsid w:val="5A057665"/>
    <w:rsid w:val="5B9718EC"/>
    <w:rsid w:val="5BB40656"/>
    <w:rsid w:val="5C125416"/>
    <w:rsid w:val="5D2B5FD5"/>
    <w:rsid w:val="5E4F150B"/>
    <w:rsid w:val="6086770E"/>
    <w:rsid w:val="6098413C"/>
    <w:rsid w:val="60E411E4"/>
    <w:rsid w:val="61CD42B9"/>
    <w:rsid w:val="62F71A93"/>
    <w:rsid w:val="64104913"/>
    <w:rsid w:val="641A14A8"/>
    <w:rsid w:val="65D046B4"/>
    <w:rsid w:val="67DF5500"/>
    <w:rsid w:val="6A4A3A36"/>
    <w:rsid w:val="6A9260A0"/>
    <w:rsid w:val="6B0B7FA5"/>
    <w:rsid w:val="6BFB1A23"/>
    <w:rsid w:val="6CAF3896"/>
    <w:rsid w:val="6D161480"/>
    <w:rsid w:val="6E21132A"/>
    <w:rsid w:val="6EDB33D7"/>
    <w:rsid w:val="6F914B78"/>
    <w:rsid w:val="6F941B5D"/>
    <w:rsid w:val="707F5C05"/>
    <w:rsid w:val="71AF5116"/>
    <w:rsid w:val="736A5E0C"/>
    <w:rsid w:val="740A314B"/>
    <w:rsid w:val="74477EFB"/>
    <w:rsid w:val="747043AB"/>
    <w:rsid w:val="74D14C4F"/>
    <w:rsid w:val="74F02341"/>
    <w:rsid w:val="75337885"/>
    <w:rsid w:val="75662FC0"/>
    <w:rsid w:val="7680668E"/>
    <w:rsid w:val="76B74C2B"/>
    <w:rsid w:val="76DC7695"/>
    <w:rsid w:val="7AA3641B"/>
    <w:rsid w:val="7B827A6B"/>
    <w:rsid w:val="7BF37175"/>
    <w:rsid w:val="7D561EAF"/>
    <w:rsid w:val="7E1626EC"/>
    <w:rsid w:val="7E497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beforeLines="0" w:after="260" w:afterLines="0" w:line="413" w:lineRule="auto"/>
      <w:outlineLvl w:val="1"/>
    </w:pPr>
    <w:rPr>
      <w:rFonts w:ascii="Arial" w:hAnsi="Arial" w:eastAsia="黑体" w:cs="Times New Roman"/>
      <w:b/>
      <w:sz w:val="32"/>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8205</Words>
  <Characters>11549</Characters>
  <Lines>0</Lines>
  <Paragraphs>0</Paragraphs>
  <TotalTime>47</TotalTime>
  <ScaleCrop>false</ScaleCrop>
  <LinksUpToDate>false</LinksUpToDate>
  <CharactersWithSpaces>12319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2022-10-13T08:03:00Z</dcterms:created>
  <dc:creator>风</dc:creator>
  <cp:lastModifiedBy>风</cp:lastModifiedBy>
  <dcterms:modified xsi:type="dcterms:W3CDTF">2023-09-05T09:00:43Z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BE900D55C32240BCBF71F89833AB076F_13</vt:lpwstr>
  </property>
</Properties>
</file>