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始兴县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参加重大体育比赛奖励办法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）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第一章  总则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  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为贯彻落实国家奥运争光计划和全民健身国家战略，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调动运动员、教练员的积极性和创造性，提高运动技术水平，积极培养和输送高水平体育后备人才，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推动我县体育事业高质量发展，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根据《中华人民共和国体育法》《运动员、教练员奖励实施办法》(体人字〔1996〕314号）等有关规定，结合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实际，制定本办法。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  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 本办法所称重大体育比赛是指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奥林匹克运动会（以下简称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奥运会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奥林匹克残疾人运动会（以下简称残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奥会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世界锦标赛、世界杯（总决赛）、青年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奥林匹克运动会（以下简称青年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奥运会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、世界青年锦标赛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、世界少年锦标赛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洲运动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以下简称亚运会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洲残疾人运动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以下简称亚残运会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亚洲锦标赛、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亚洲青年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运动会、全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以下简称全运会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国残疾人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以下简称全国残运会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全国锦标赛、全国青年运动会、全国青年锦标赛、全国少年锦标赛、全国U系列赛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广东省运动会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以下简称省运会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、广东省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残疾人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以下简称省残运会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广东省青少年锦标赛（可授予运动员技术等级称号的比赛）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韶关市运动会（以下简称市运会）、韶关市青少年锦标赛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 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 本办法适用于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  （一）由我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培养、输送代表国家参加奥运会、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奥会、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世界锦标赛、世界杯（总决赛）、青年奥运会、世界青年锦标赛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、世界少年锦标赛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、亚运会、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亚残运会、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亚洲锦标赛、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亚洲青年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或代表广东省参加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全国残运会、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全国锦标赛、全国青年运动会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全国青年锦标赛、全国少年锦标赛、全国U系列赛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广东省运会、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省残运会、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广东省青少年锦标赛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韶关市运会、韶关市青少年锦标赛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等重大体育比赛获得优异成绩的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籍运动员，及其输送教练员。</w:t>
      </w:r>
    </w:p>
    <w:p>
      <w:pPr>
        <w:spacing w:line="560" w:lineRule="exac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  （二）代表我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参加广东省运会、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省残运会、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广东省青少年锦标赛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韶关市运会、韶关市青少年锦标赛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等重大体育比赛获得优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异成绩的运动员、教练员，以及为我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参加省运会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省残运会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作出突出贡献的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输送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向国家、广东省运动队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广东省青少年竞技体育学校输送运动员的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输送单位、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输送教练员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本办法所称奖励资金（人民币），是指由县级财政安排用于奖励运动员、教练员和体育人才培养输送单位的经费。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奖励办法坚持公开、公平、公正、透明的原则。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运动员、教练员应当发扬爱国主义和集体主义精神，为提高我国运动技术水平作出更大贡献。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第二章 比赛成绩奖励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比赛成绩奖为奖励比赛成绩突出的运动员、教练员及相关工作人员而设立的奖项。具体按照《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始兴县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参加重大体育比赛奖励标准一览表》标准进行奖励。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第六条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在重大体育比赛破记录的运动员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按所参加赛事项目获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名次奖励资金的50%增发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破记录奖励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。运动员在同一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赛事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同一项目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多次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破纪录的，按最高原则计发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奖金。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第七条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各集体及团体赛项目由2名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以上运动员组成，每名运动员按所参加赛事项目所获名次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奖励标准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各计发一份奖励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教练员按所带运动员名次（含破纪录）奖励标准计发一份奖金。集体及团体赛项目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如运动员属同一个教练员所带，则教练员按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份奖励；如分属不同的教练员，则每个教练员各得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份奖励。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获多项名次，运动员、教练员奖金按照运动员获奖情况进行累加。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始兴县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输送的运动员入选奥运会代表团，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每输送一位运动员奖励输送教练员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对其他具有重大影响的国际高水平比赛获得突出成绩，并对提升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始兴县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城市影响力有较大帮助的运动员，给予适当奖励，视贡献大小参照奥运会奖励标准制定奖励方案，报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政府批准后执行。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运动员参加全运会、广东省运动会群众项目比赛获得突出成绩的奖励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按照竞技组别比赛成绩奖励的50%计算奖励金额。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第三章 人才输送奖励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人才输送奖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为奖励输送单位、教练员而设立的奖项。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始兴运动员被输送到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国家运动队并转为正式队员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。每输送1名运动员，奖励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输送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单位2万元、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教练员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始兴运动员被输送到广东省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省级运动队并转为正式队员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，每输送1名运动员，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输送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单位1万元、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输送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教练员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输送到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广东省青少年竞技体育学校并转为正式队员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，每输送1名运动员，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输送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单位5000元、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输送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教练员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输送到广东省联合培训基地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签订协议的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每输送1名运动员，奖励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输送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教练员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运动员输送确认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上级体育行政主管部门公布的正式运动员名单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录取通知书为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。进入省运动队名单以省人力资源和社会保障厅、省体育局等部门联合下发的通知为依据。 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奖励审批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运动员所获成绩的认定，按照有关专项规程、规则、规定要求，以正式成绩册和荣誉证书原件为依据。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奖励申报受理时间为每年第四季度，由获奖或输送单位、个人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体育行政主管部门审核，经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主管部门核准后，报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政府批准发放奖励。奖励申报应该在获奖或受表彰之日起两年内提出申请，逾期未申请视为自动放弃。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对各训练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战广东省运动会的奖励，按该训练单位参赛运动员、教练员获得奖金总额的20%计算奖励金额给予奖励。奖金用于购买训练器材、改善训练场地设施、引进交流体育后备人才、参加外训及比赛等，不得用于与训练、比赛无关的开支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运动员经2名及以上教练员培养的，教练员奖金按照训练时间和贡献情况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。比赛成绩奖励按照奖励一项比赛成绩计发一份教练员奖金，由申报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训练项目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或申报人进行分配。人才输送奖励计发一份教练员输送奖金，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以月为单位核算教练员带训时间确定输送奖励分配比例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第五章  奖励监督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 运动员、教练员的奖励应根据比赛成绩并结合政治思想、道德作风、法纪观念等方面情况全面评定。运动员、教练员因思想品德、违纪违法受到处分，或因失职造成误赛、停赛或影响运动员争创优异成绩的，依据相关规定处理，并减少或取消奖金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 申报单位和个人须确保所提交相关材料的真实性，不得弄虚作假。提交虚假材料的，一经核实，由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政府体育行政主管部门给予申报单位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个人通报批评，并追回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发放奖励。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 凡因兴奋剂问题或其他违反赛会规定而被竞赛组委会取消成绩的，一经核实，由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政府体育行政主管部门取消运动员初始注册资格，并追回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发放奖励。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 奥运会、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残奥会、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世锦赛、青奥会、亚运会、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亚残会、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亚锦赛、全运会、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全国残运会、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省残运会、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省青少年锦标赛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市运会、市锦标赛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奖金由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县级体彩公益金中统筹安排并纳入预算解决。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 奖励奖金专款专用，使用时必须遵守国家财政、财务规章制度和各项财经纪律，对于截留、挤占、挪用、骗取奖励奖金及违反本办法的，将按国家有关规定严肃处理。奖金标准随着国民经济和体育事业发展作适当调整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 运动员、教练员的奖金不列入事业单位工作人员绩效工资总量。其他工作人员的奖金需据实单列核定，并用于当次分配。受奖励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人应按国家相关规定缴税。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numPr>
          <w:ilvl w:val="0"/>
          <w:numId w:val="3"/>
        </w:num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附则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本办法由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始兴县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文化广电旅游体育局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始兴县残疾人联合会负责解释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始兴县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2024年7月1日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起施行。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始兴县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参加重大体育比赛奖励标准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一览表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ind w:firstLine="641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始兴县文广旅体局</w:t>
      </w:r>
    </w:p>
    <w:p>
      <w:pPr>
        <w:spacing w:line="560" w:lineRule="exact"/>
        <w:ind w:firstLine="640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8" w:header="851" w:footer="992" w:gutter="0"/>
          <w:cols w:space="720" w:num="1"/>
          <w:rtlGutter w:val="0"/>
          <w:docGrid w:type="linesAndChars" w:linePitch="312" w:charSpace="117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2024年4月26日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始兴县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参加重大体育比赛奖励标准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单位：万元</w:t>
      </w:r>
    </w:p>
    <w:tbl>
      <w:tblPr>
        <w:tblStyle w:val="3"/>
        <w:tblW w:w="14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1648"/>
        <w:gridCol w:w="999"/>
        <w:gridCol w:w="950"/>
        <w:gridCol w:w="934"/>
        <w:gridCol w:w="1016"/>
        <w:gridCol w:w="1067"/>
        <w:gridCol w:w="1083"/>
        <w:gridCol w:w="917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  目</w:t>
            </w:r>
          </w:p>
        </w:tc>
        <w:tc>
          <w:tcPr>
            <w:tcW w:w="7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奖励标准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tblHeader/>
        </w:trPr>
        <w:tc>
          <w:tcPr>
            <w:tcW w:w="6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四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五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七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八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奥运会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残奥会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运动员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50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输送教练员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25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世界锦标赛、世界杯（总决赛）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运动员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输送教练员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1.75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1.25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青年奥运会、亚运会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亚残运会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运动员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2.7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输送教练员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1.35</w:t>
            </w:r>
          </w:p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1.05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亚洲青年运动会、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亚洲锦标赛、</w:t>
            </w:r>
          </w:p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全运会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全国残运会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运动员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3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1.8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1.4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输送教练员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世界青年锦标赛、世界少年锦标赛、全国锦标赛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全国青年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运动会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运动员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0.72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0.64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0.56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0.48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输送教练员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1.25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0.75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0.36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0.32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0.28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0.24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全国青年锦标赛、全国少年锦标赛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全国U系列赛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运动员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0.63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输送教练员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0.45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0.35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0.315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0.28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省运会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省残运会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运动员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0.54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0.48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0.42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输送教练员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0.75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广东省青少年锦标赛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（可授予运动员技术等级称号的比赛）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运动员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输送教练员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0.09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.08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.07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.06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市运会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运动员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0.13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0.11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0.07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教练员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0.065555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0.055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0.045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0.035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0.03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0.025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韶关市青少年锦标赛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运动员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0.07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教练员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0.035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0.025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0.015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0.005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566D50D6"/>
    <w:multiLevelType w:val="singleLevel"/>
    <w:tmpl w:val="566D50D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OWUwNzRiNTk4OWFiNWZmYzJhYThlODg3OWZkZTgifQ=="/>
  </w:docVars>
  <w:rsids>
    <w:rsidRoot w:val="53F45823"/>
    <w:rsid w:val="03346C50"/>
    <w:rsid w:val="07282E24"/>
    <w:rsid w:val="10426A38"/>
    <w:rsid w:val="138222EA"/>
    <w:rsid w:val="14FB63B9"/>
    <w:rsid w:val="1AA8543F"/>
    <w:rsid w:val="20721179"/>
    <w:rsid w:val="27560B25"/>
    <w:rsid w:val="502C6C3B"/>
    <w:rsid w:val="51601178"/>
    <w:rsid w:val="53F45823"/>
    <w:rsid w:val="6C014DA3"/>
    <w:rsid w:val="6FA00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3019</Words>
  <Characters>3311</Characters>
  <Lines>0</Lines>
  <Paragraphs>0</Paragraphs>
  <TotalTime>48</TotalTime>
  <ScaleCrop>false</ScaleCrop>
  <LinksUpToDate>false</LinksUpToDate>
  <CharactersWithSpaces>3443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2022-09-02T07:53:00Z</dcterms:created>
  <dc:creator>Administrator</dc:creator>
  <cp:lastModifiedBy>滴滴.周</cp:lastModifiedBy>
  <cp:lastPrinted>2024-04-26T01:46:00Z</cp:lastPrinted>
  <dcterms:modified xsi:type="dcterms:W3CDTF">2024-04-26T03:36:28Z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FD3361BD27284FBCA234F0958738D37B</vt:lpwstr>
  </property>
</Properties>
</file>