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48F4A0">
      <w:pPr>
        <w:pStyle w:val="18"/>
        <w:widowControl w:val="0"/>
        <w:autoSpaceDE w:val="0"/>
        <w:autoSpaceDN w:val="0"/>
        <w:rPr>
          <w:rFonts w:hint="eastAsia" w:ascii="黑体" w:hAnsi="黑体" w:eastAsia="黑体"/>
          <w:sz w:val="32"/>
          <w:lang w:eastAsia="zh-CN"/>
        </w:rPr>
      </w:pPr>
      <w:r>
        <w:rPr>
          <w:rFonts w:hint="eastAsia" w:ascii="黑体" w:hAnsi="黑体" w:eastAsia="黑体"/>
          <w:sz w:val="32"/>
        </w:rPr>
        <w:t>附件</w:t>
      </w:r>
      <w:r>
        <w:rPr>
          <w:rFonts w:hint="eastAsia" w:ascii="黑体" w:hAnsi="黑体" w:eastAsia="黑体"/>
          <w:sz w:val="32"/>
          <w:lang w:val="en-US" w:eastAsia="zh-CN"/>
        </w:rPr>
        <w:t>4</w:t>
      </w:r>
    </w:p>
    <w:p w14:paraId="445C133A">
      <w:pPr>
        <w:pStyle w:val="18"/>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14:paraId="3650A179">
      <w:pPr>
        <w:pStyle w:val="18"/>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14:paraId="07254BF7">
      <w:pPr>
        <w:pStyle w:val="18"/>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14:paraId="46728A50">
      <w:pPr>
        <w:pStyle w:val="18"/>
        <w:widowControl w:val="0"/>
        <w:autoSpaceDE w:val="0"/>
        <w:autoSpaceDN w:val="0"/>
        <w:ind w:left="0" w:leftChars="0" w:right="0" w:rightChars="0" w:firstLine="0" w:firstLineChars="0"/>
        <w:jc w:val="center"/>
        <w:rPr>
          <w:rFonts w:hint="eastAsia" w:ascii="FangSong.GB2312" w:hAnsi="FangSong.GB2312" w:eastAsia="FangSong.GB2312"/>
          <w:b/>
          <w:bCs/>
          <w:sz w:val="52"/>
          <w:lang w:eastAsia="zh-CN"/>
        </w:rPr>
      </w:pPr>
      <w:r>
        <w:rPr>
          <w:rFonts w:hint="eastAsia" w:ascii="FangSong.GB2312" w:hAnsi="FangSong.GB2312" w:eastAsia="FangSong.GB2312"/>
          <w:b/>
          <w:bCs/>
          <w:sz w:val="52"/>
          <w:lang w:eastAsia="zh-CN"/>
        </w:rPr>
        <w:t>部门整体支出绩效自评报告</w:t>
      </w:r>
    </w:p>
    <w:p w14:paraId="1D4B61CA">
      <w:pPr>
        <w:pStyle w:val="18"/>
        <w:widowControl w:val="0"/>
        <w:autoSpaceDE w:val="0"/>
        <w:autoSpaceDN w:val="0"/>
        <w:ind w:left="0" w:leftChars="0" w:right="0" w:rightChars="0" w:firstLine="0" w:firstLineChars="0"/>
        <w:jc w:val="center"/>
        <w:rPr>
          <w:rFonts w:hint="eastAsia" w:ascii="宋体" w:hAnsi="宋体" w:eastAsia="宋体"/>
          <w:sz w:val="36"/>
        </w:rPr>
      </w:pPr>
    </w:p>
    <w:p w14:paraId="5BBA2F1D">
      <w:pPr>
        <w:pStyle w:val="18"/>
        <w:widowControl w:val="0"/>
        <w:autoSpaceDE w:val="0"/>
        <w:autoSpaceDN w:val="0"/>
        <w:ind w:left="0" w:leftChars="0" w:right="0" w:rightChars="0" w:firstLine="0" w:firstLineChars="0"/>
        <w:jc w:val="center"/>
        <w:rPr>
          <w:rFonts w:hint="eastAsia" w:ascii="宋体" w:hAnsi="宋体" w:eastAsia="宋体"/>
          <w:sz w:val="36"/>
        </w:rPr>
      </w:pPr>
    </w:p>
    <w:p w14:paraId="48F56A5B">
      <w:pPr>
        <w:pStyle w:val="18"/>
        <w:widowControl w:val="0"/>
        <w:autoSpaceDE w:val="0"/>
        <w:autoSpaceDN w:val="0"/>
        <w:ind w:left="0" w:leftChars="0" w:right="0" w:rightChars="0" w:firstLine="0" w:firstLineChars="0"/>
        <w:jc w:val="center"/>
        <w:rPr>
          <w:rFonts w:hint="eastAsia" w:ascii="宋体" w:hAnsi="宋体" w:eastAsia="宋体"/>
          <w:sz w:val="36"/>
        </w:rPr>
      </w:pPr>
    </w:p>
    <w:p w14:paraId="2F646DE4">
      <w:pPr>
        <w:pStyle w:val="18"/>
        <w:widowControl w:val="0"/>
        <w:autoSpaceDE w:val="0"/>
        <w:autoSpaceDN w:val="0"/>
        <w:ind w:left="0" w:leftChars="0" w:right="0" w:rightChars="0" w:firstLine="0" w:firstLineChars="0"/>
        <w:jc w:val="center"/>
        <w:rPr>
          <w:rFonts w:hint="eastAsia" w:ascii="宋体" w:hAnsi="宋体" w:eastAsia="宋体"/>
          <w:sz w:val="36"/>
        </w:rPr>
      </w:pPr>
    </w:p>
    <w:p w14:paraId="271F08C2">
      <w:pPr>
        <w:pStyle w:val="18"/>
        <w:widowControl w:val="0"/>
        <w:autoSpaceDE w:val="0"/>
        <w:autoSpaceDN w:val="0"/>
        <w:ind w:left="0" w:leftChars="0" w:right="0" w:rightChars="0" w:firstLine="0" w:firstLineChars="0"/>
        <w:jc w:val="center"/>
        <w:rPr>
          <w:rFonts w:hint="eastAsia" w:ascii="宋体" w:hAnsi="宋体" w:eastAsia="宋体"/>
          <w:sz w:val="36"/>
        </w:rPr>
      </w:pPr>
    </w:p>
    <w:p w14:paraId="161B4AA8">
      <w:pPr>
        <w:pStyle w:val="18"/>
        <w:widowControl w:val="0"/>
        <w:autoSpaceDE w:val="0"/>
        <w:autoSpaceDN w:val="0"/>
        <w:ind w:left="0" w:leftChars="0" w:right="0" w:rightChars="0" w:firstLine="0" w:firstLineChars="0"/>
        <w:jc w:val="center"/>
        <w:rPr>
          <w:rFonts w:hint="eastAsia" w:ascii="宋体" w:hAnsi="宋体" w:eastAsia="宋体"/>
          <w:sz w:val="36"/>
        </w:rPr>
      </w:pPr>
    </w:p>
    <w:p w14:paraId="371B5A51">
      <w:pPr>
        <w:pStyle w:val="18"/>
        <w:widowControl w:val="0"/>
        <w:autoSpaceDE w:val="0"/>
        <w:autoSpaceDN w:val="0"/>
        <w:ind w:left="0" w:leftChars="0" w:right="0" w:rightChars="0" w:firstLine="0" w:firstLineChars="0"/>
        <w:jc w:val="both"/>
        <w:rPr>
          <w:rFonts w:hint="eastAsia" w:ascii="宋体" w:hAnsi="宋体"/>
          <w:sz w:val="36"/>
          <w:lang w:val="en-US" w:eastAsia="zh-CN"/>
        </w:rPr>
      </w:pPr>
      <w:r>
        <w:rPr>
          <w:rFonts w:hint="eastAsia" w:ascii="宋体" w:hAnsi="宋体"/>
          <w:sz w:val="36"/>
          <w:lang w:val="en-US" w:eastAsia="zh-CN"/>
        </w:rPr>
        <w:t xml:space="preserve">   </w:t>
      </w:r>
    </w:p>
    <w:p w14:paraId="086C3E11">
      <w:pPr>
        <w:pStyle w:val="18"/>
        <w:widowControl w:val="0"/>
        <w:autoSpaceDE w:val="0"/>
        <w:autoSpaceDN w:val="0"/>
        <w:ind w:left="0" w:leftChars="0" w:right="0" w:rightChars="0" w:firstLine="0" w:firstLineChars="0"/>
        <w:jc w:val="both"/>
        <w:rPr>
          <w:rFonts w:hint="eastAsia" w:ascii="宋体" w:hAnsi="宋体"/>
          <w:sz w:val="36"/>
          <w:lang w:val="en-US" w:eastAsia="zh-CN"/>
        </w:rPr>
      </w:pPr>
    </w:p>
    <w:p w14:paraId="42630BAF">
      <w:pPr>
        <w:pStyle w:val="18"/>
        <w:widowControl w:val="0"/>
        <w:autoSpaceDE w:val="0"/>
        <w:autoSpaceDN w:val="0"/>
        <w:ind w:left="0" w:leftChars="0" w:right="0" w:rightChars="0" w:firstLine="0" w:firstLineChars="0"/>
        <w:jc w:val="both"/>
        <w:rPr>
          <w:rFonts w:hint="eastAsia" w:ascii="宋体" w:hAnsi="宋体" w:eastAsia="宋体"/>
          <w:sz w:val="36"/>
        </w:rPr>
      </w:pPr>
      <w:r>
        <w:rPr>
          <w:rFonts w:hint="eastAsia" w:ascii="宋体" w:hAnsi="宋体" w:eastAsia="宋体"/>
          <w:sz w:val="36"/>
        </w:rPr>
        <w:t>部门名称：始兴县妇女联合会</w:t>
      </w:r>
    </w:p>
    <w:p w14:paraId="1419CA87">
      <w:pPr>
        <w:pStyle w:val="18"/>
        <w:widowControl w:val="0"/>
        <w:autoSpaceDE w:val="0"/>
        <w:autoSpaceDN w:val="0"/>
        <w:ind w:left="0" w:leftChars="0" w:right="0" w:rightChars="0" w:firstLine="0" w:firstLineChars="0"/>
        <w:jc w:val="both"/>
        <w:rPr>
          <w:rFonts w:hint="eastAsia" w:ascii="宋体" w:hAnsi="宋体"/>
          <w:sz w:val="36"/>
          <w:lang w:val="en-US" w:eastAsia="zh-CN"/>
        </w:rPr>
      </w:pPr>
      <w:r>
        <w:rPr>
          <w:rFonts w:hint="eastAsia" w:ascii="宋体" w:hAnsi="宋体"/>
          <w:sz w:val="36"/>
          <w:lang w:val="en-US" w:eastAsia="zh-CN"/>
        </w:rPr>
        <w:t xml:space="preserve">         </w:t>
      </w:r>
    </w:p>
    <w:p w14:paraId="03B256F2">
      <w:pPr>
        <w:pStyle w:val="18"/>
        <w:widowControl w:val="0"/>
        <w:autoSpaceDE w:val="0"/>
        <w:autoSpaceDN w:val="0"/>
        <w:ind w:left="0" w:leftChars="0" w:right="0" w:rightChars="0" w:firstLine="0" w:firstLineChars="0"/>
        <w:jc w:val="both"/>
        <w:rPr>
          <w:rFonts w:hint="eastAsia" w:ascii="宋体" w:hAnsi="宋体" w:eastAsia="宋体"/>
          <w:sz w:val="36"/>
          <w:lang w:val="en-US" w:eastAsia="zh-CN"/>
        </w:rPr>
      </w:pPr>
      <w:r>
        <w:rPr>
          <w:rFonts w:hint="eastAsia" w:ascii="宋体" w:hAnsi="宋体" w:eastAsia="宋体"/>
          <w:sz w:val="36"/>
        </w:rPr>
        <w:t>填</w:t>
      </w:r>
      <w:r>
        <w:rPr>
          <w:rFonts w:hint="eastAsia" w:ascii="宋体" w:hAnsi="宋体"/>
          <w:sz w:val="36"/>
          <w:lang w:val="en-US" w:eastAsia="zh-CN"/>
        </w:rPr>
        <w:t xml:space="preserve"> </w:t>
      </w:r>
      <w:r>
        <w:rPr>
          <w:rFonts w:hint="eastAsia" w:ascii="宋体" w:hAnsi="宋体" w:eastAsia="宋体"/>
          <w:sz w:val="36"/>
        </w:rPr>
        <w:t>报</w:t>
      </w:r>
      <w:r>
        <w:rPr>
          <w:rFonts w:hint="eastAsia" w:ascii="宋体" w:hAnsi="宋体"/>
          <w:sz w:val="36"/>
          <w:lang w:val="en-US" w:eastAsia="zh-CN"/>
        </w:rPr>
        <w:t xml:space="preserve"> </w:t>
      </w:r>
      <w:r>
        <w:rPr>
          <w:rFonts w:hint="eastAsia" w:ascii="宋体" w:hAnsi="宋体" w:eastAsia="宋体"/>
          <w:sz w:val="36"/>
        </w:rPr>
        <w:t>人：</w:t>
      </w:r>
      <w:r>
        <w:rPr>
          <w:rFonts w:hint="eastAsia" w:ascii="宋体" w:hAnsi="宋体"/>
          <w:sz w:val="36"/>
          <w:lang w:val="en-US" w:eastAsia="zh-CN"/>
        </w:rPr>
        <w:t>聂美</w:t>
      </w:r>
    </w:p>
    <w:p w14:paraId="2A7816C0">
      <w:pPr>
        <w:pStyle w:val="18"/>
        <w:widowControl w:val="0"/>
        <w:autoSpaceDE w:val="0"/>
        <w:autoSpaceDN w:val="0"/>
        <w:ind w:left="0" w:leftChars="0" w:right="0" w:rightChars="0" w:firstLine="0" w:firstLineChars="0"/>
        <w:jc w:val="both"/>
        <w:rPr>
          <w:rFonts w:hint="eastAsia" w:ascii="宋体" w:hAnsi="宋体"/>
          <w:sz w:val="36"/>
          <w:lang w:val="en-US" w:eastAsia="zh-CN"/>
        </w:rPr>
      </w:pPr>
      <w:r>
        <w:rPr>
          <w:rFonts w:hint="eastAsia" w:ascii="宋体" w:hAnsi="宋体"/>
          <w:sz w:val="36"/>
          <w:lang w:val="en-US" w:eastAsia="zh-CN"/>
        </w:rPr>
        <w:t xml:space="preserve">        </w:t>
      </w:r>
    </w:p>
    <w:p w14:paraId="39C1AB15">
      <w:pPr>
        <w:pStyle w:val="18"/>
        <w:widowControl w:val="0"/>
        <w:autoSpaceDE w:val="0"/>
        <w:autoSpaceDN w:val="0"/>
        <w:ind w:left="0" w:leftChars="0" w:right="0" w:rightChars="0" w:firstLine="0" w:firstLineChars="0"/>
        <w:jc w:val="both"/>
        <w:rPr>
          <w:rFonts w:hint="eastAsia" w:ascii="宋体" w:hAnsi="宋体" w:eastAsia="宋体"/>
          <w:sz w:val="36"/>
        </w:rPr>
      </w:pPr>
      <w:r>
        <w:rPr>
          <w:rFonts w:hint="eastAsia" w:ascii="宋体" w:hAnsi="宋体" w:eastAsia="宋体"/>
          <w:sz w:val="36"/>
        </w:rPr>
        <w:t>联系电话：13570281725</w:t>
      </w:r>
    </w:p>
    <w:p w14:paraId="0A62E583">
      <w:pPr>
        <w:pStyle w:val="18"/>
        <w:widowControl w:val="0"/>
        <w:autoSpaceDE w:val="0"/>
        <w:autoSpaceDN w:val="0"/>
        <w:ind w:left="0" w:leftChars="0" w:right="0" w:rightChars="0" w:firstLine="0" w:firstLineChars="0"/>
        <w:jc w:val="both"/>
        <w:rPr>
          <w:rFonts w:hint="eastAsia" w:ascii="宋体" w:hAnsi="宋体" w:eastAsia="宋体"/>
          <w:sz w:val="36"/>
          <w:lang w:val="en-US" w:eastAsia="zh-CN"/>
        </w:rPr>
      </w:pPr>
      <w:r>
        <w:rPr>
          <w:rFonts w:hint="eastAsia" w:ascii="宋体" w:hAnsi="宋体"/>
          <w:sz w:val="36"/>
          <w:lang w:val="en-US" w:eastAsia="zh-CN"/>
        </w:rPr>
        <w:t xml:space="preserve"> </w:t>
      </w:r>
    </w:p>
    <w:p w14:paraId="1EE8647E">
      <w:pPr>
        <w:ind w:left="0" w:leftChars="0" w:right="0" w:rightChars="0" w:firstLine="0" w:firstLineChars="0"/>
        <w:jc w:val="both"/>
        <w:rPr>
          <w:rFonts w:hint="eastAsia" w:ascii="黑体" w:hAnsi="黑体" w:eastAsia="黑体"/>
          <w:sz w:val="32"/>
        </w:rPr>
      </w:pPr>
      <w:r>
        <w:rPr>
          <w:rFonts w:hint="eastAsia" w:ascii="宋体" w:hAnsi="宋体" w:eastAsia="宋体"/>
          <w:sz w:val="36"/>
        </w:rPr>
        <w:t>填报日期：</w:t>
      </w:r>
      <w:r>
        <w:rPr>
          <w:rFonts w:hint="eastAsia" w:ascii="宋体" w:hAnsi="宋体" w:eastAsia="宋体"/>
          <w:sz w:val="36"/>
        </w:rPr>
        <w:br w:type="page"/>
      </w:r>
      <w:r>
        <w:rPr>
          <w:rFonts w:hint="eastAsia" w:ascii="宋体" w:hAnsi="宋体"/>
          <w:sz w:val="36"/>
          <w:lang w:val="en-US" w:eastAsia="zh-CN"/>
        </w:rPr>
        <w:t xml:space="preserve">    </w:t>
      </w:r>
      <w:r>
        <w:rPr>
          <w:rFonts w:hint="eastAsia" w:ascii="黑体" w:hAnsi="黑体" w:eastAsia="黑体"/>
          <w:sz w:val="32"/>
        </w:rPr>
        <w:t>一、部门基本情况</w:t>
      </w:r>
    </w:p>
    <w:p w14:paraId="1B7F0E78">
      <w:pPr>
        <w:numPr>
          <w:ilvl w:val="0"/>
          <w:numId w:val="1"/>
        </w:numPr>
        <w:ind w:left="0" w:leftChars="0" w:right="0" w:rightChars="0" w:firstLine="640" w:firstLineChars="200"/>
        <w:jc w:val="left"/>
        <w:rPr>
          <w:rFonts w:hint="eastAsia" w:ascii="仿宋_GB2312" w:eastAsia="仿宋_GB2312"/>
          <w:sz w:val="32"/>
          <w:szCs w:val="32"/>
        </w:rPr>
      </w:pPr>
      <w:r>
        <w:rPr>
          <w:rFonts w:hint="eastAsia" w:ascii="楷体_GB2312" w:hAnsi="楷体_GB2312" w:eastAsia="楷体_GB2312" w:cs="楷体_GB2312"/>
          <w:sz w:val="32"/>
        </w:rPr>
        <w:t>部门职能</w:t>
      </w:r>
      <w:r>
        <w:rPr>
          <w:rFonts w:hint="eastAsia" w:ascii="仿宋_GB2312" w:hAnsi="仿宋_GB2312" w:eastAsia="仿宋_GB2312"/>
          <w:sz w:val="32"/>
        </w:rPr>
        <w:t>。</w:t>
      </w:r>
    </w:p>
    <w:p w14:paraId="43203238">
      <w:pPr>
        <w:numPr>
          <w:numId w:val="0"/>
        </w:numPr>
        <w:ind w:right="0" w:rightChars="0" w:firstLine="640" w:firstLineChars="200"/>
        <w:jc w:val="left"/>
        <w:rPr>
          <w:rFonts w:hint="eastAsia" w:ascii="仿宋_GB2312" w:eastAsia="仿宋_GB2312"/>
          <w:sz w:val="32"/>
          <w:szCs w:val="32"/>
        </w:rPr>
      </w:pPr>
      <w:r>
        <w:rPr>
          <w:rFonts w:hint="eastAsia" w:ascii="仿宋_GB2312" w:eastAsia="仿宋_GB2312"/>
          <w:sz w:val="32"/>
          <w:szCs w:val="32"/>
        </w:rPr>
        <w:t xml:space="preserve">围绕党的中心工作，贯彻县委、县政府和上级妇联部署的各项任务。制定本县妇女儿童事业发展规划，各时期妇女工作和年度工作计划并组织实施。     </w:t>
      </w:r>
    </w:p>
    <w:p w14:paraId="3B99630E">
      <w:pPr>
        <w:ind w:left="0" w:leftChars="0" w:right="0" w:rightChars="0" w:firstLine="640" w:firstLineChars="200"/>
        <w:jc w:val="left"/>
        <w:rPr>
          <w:rFonts w:hint="eastAsia" w:ascii="仿宋_GB2312" w:hAnsi="仿宋_GB2312" w:eastAsia="仿宋_GB2312"/>
          <w:sz w:val="32"/>
        </w:rPr>
      </w:pPr>
      <w:r>
        <w:rPr>
          <w:rFonts w:hint="eastAsia" w:ascii="仿宋_GB2312" w:eastAsia="仿宋_GB2312"/>
          <w:sz w:val="32"/>
          <w:szCs w:val="32"/>
        </w:rPr>
        <w:t>本部门内设2个股室，分别是文秘、宣传、社工部和妇女、儿童权益部。本部门人员编制4人，202</w:t>
      </w:r>
      <w:r>
        <w:rPr>
          <w:rFonts w:hint="eastAsia" w:ascii="仿宋_GB2312" w:eastAsia="仿宋_GB2312"/>
          <w:sz w:val="32"/>
          <w:szCs w:val="32"/>
          <w:lang w:val="en-US" w:eastAsia="zh-CN"/>
        </w:rPr>
        <w:t>3</w:t>
      </w:r>
      <w:r>
        <w:rPr>
          <w:rFonts w:hint="eastAsia" w:ascii="仿宋_GB2312" w:eastAsia="仿宋_GB2312"/>
          <w:sz w:val="32"/>
          <w:szCs w:val="32"/>
        </w:rPr>
        <w:t>年12月底，实有在职在编人员4人。</w:t>
      </w:r>
    </w:p>
    <w:p w14:paraId="6DA55268">
      <w:pPr>
        <w:numPr>
          <w:ilvl w:val="0"/>
          <w:numId w:val="1"/>
        </w:numPr>
        <w:ind w:left="0" w:leftChars="0" w:right="0" w:rightChars="0" w:firstLine="640" w:firstLineChars="200"/>
        <w:jc w:val="left"/>
        <w:rPr>
          <w:rFonts w:hint="eastAsia" w:ascii="仿宋_GB2312" w:eastAsia="仿宋_GB2312"/>
          <w:sz w:val="32"/>
          <w:szCs w:val="32"/>
        </w:rPr>
      </w:pPr>
      <w:r>
        <w:rPr>
          <w:rFonts w:hint="eastAsia" w:ascii="楷体_GB2312" w:hAnsi="楷体_GB2312" w:eastAsia="楷体_GB2312" w:cs="楷体_GB2312"/>
          <w:sz w:val="32"/>
        </w:rPr>
        <w:t>年度总体工作和重点工作任务。</w:t>
      </w:r>
      <w:r>
        <w:rPr>
          <w:rFonts w:hint="eastAsia" w:ascii="仿宋_GB2312" w:eastAsia="仿宋_GB2312"/>
          <w:sz w:val="32"/>
          <w:szCs w:val="32"/>
        </w:rPr>
        <w:t xml:space="preserve"> </w:t>
      </w:r>
    </w:p>
    <w:p w14:paraId="2ABF7149">
      <w:pPr>
        <w:numPr>
          <w:numId w:val="0"/>
        </w:numPr>
        <w:ind w:right="0" w:rightChars="0" w:firstLine="640" w:firstLineChars="200"/>
        <w:jc w:val="left"/>
        <w:rPr>
          <w:rFonts w:hint="eastAsia" w:ascii="仿宋_GB2312" w:eastAsia="仿宋_GB2312"/>
          <w:sz w:val="32"/>
          <w:szCs w:val="32"/>
        </w:rPr>
      </w:pPr>
      <w:r>
        <w:rPr>
          <w:rFonts w:hint="eastAsia" w:ascii="仿宋_GB2312" w:eastAsia="仿宋_GB2312"/>
          <w:sz w:val="32"/>
          <w:szCs w:val="32"/>
        </w:rPr>
        <w:t>本会始终坚持“以妇女为中心”的工作理念，将促进妇女全面发展作为首要任务。在过去的一年里，我们围绕促进妇女就业、保障妇女权益、提升妇女素质等方面制定了一系列具体的工作目标。</w:t>
      </w:r>
    </w:p>
    <w:p w14:paraId="19172145">
      <w:pPr>
        <w:ind w:right="0" w:rightChars="0" w:firstLine="640" w:firstLineChars="200"/>
        <w:jc w:val="left"/>
        <w:rPr>
          <w:rFonts w:hint="eastAsia" w:ascii="仿宋_GB2312" w:hAnsi="仿宋_GB2312" w:eastAsia="仿宋_GB2312"/>
          <w:sz w:val="32"/>
        </w:rPr>
      </w:pPr>
    </w:p>
    <w:p w14:paraId="0BA30F02">
      <w:pPr>
        <w:numPr>
          <w:ilvl w:val="0"/>
          <w:numId w:val="1"/>
        </w:numPr>
        <w:ind w:left="0" w:leftChars="0" w:right="0" w:rightChars="0" w:firstLine="640" w:firstLineChars="200"/>
        <w:jc w:val="left"/>
        <w:rPr>
          <w:rFonts w:hint="eastAsia" w:ascii="仿宋_GB2312" w:eastAsia="仿宋_GB2312"/>
          <w:sz w:val="32"/>
          <w:szCs w:val="32"/>
        </w:rPr>
      </w:pPr>
      <w:r>
        <w:rPr>
          <w:rFonts w:hint="eastAsia" w:ascii="楷体_GB2312" w:hAnsi="楷体_GB2312" w:eastAsia="楷体_GB2312" w:cs="楷体_GB2312"/>
          <w:sz w:val="32"/>
        </w:rPr>
        <w:t>部门整体支出绩效目标。</w:t>
      </w:r>
      <w:r>
        <w:rPr>
          <w:rFonts w:hint="eastAsia" w:ascii="仿宋_GB2312" w:hAnsi="仿宋_GB2312" w:eastAsia="仿宋_GB2312"/>
          <w:sz w:val="32"/>
          <w:lang w:eastAsia="zh-CN"/>
        </w:rPr>
        <w:t>分析</w:t>
      </w:r>
      <w:r>
        <w:rPr>
          <w:rFonts w:hint="eastAsia" w:ascii="仿宋_GB2312" w:hAnsi="仿宋_GB2312" w:eastAsia="仿宋_GB2312"/>
          <w:sz w:val="32"/>
        </w:rPr>
        <w:t>绩效目标</w:t>
      </w:r>
      <w:r>
        <w:rPr>
          <w:rFonts w:hint="eastAsia" w:ascii="仿宋_GB2312" w:hAnsi="仿宋_GB2312" w:eastAsia="仿宋_GB2312"/>
          <w:sz w:val="32"/>
          <w:lang w:eastAsia="zh-CN"/>
        </w:rPr>
        <w:t>、指标与</w:t>
      </w:r>
      <w:r>
        <w:rPr>
          <w:rFonts w:hint="eastAsia" w:ascii="仿宋_GB2312" w:eastAsia="仿宋_GB2312"/>
          <w:sz w:val="32"/>
          <w:szCs w:val="32"/>
        </w:rPr>
        <w:t>部门职能、中期规划</w:t>
      </w:r>
      <w:r>
        <w:rPr>
          <w:rFonts w:hint="eastAsia" w:ascii="仿宋_GB2312" w:eastAsia="仿宋_GB2312"/>
          <w:sz w:val="32"/>
          <w:szCs w:val="32"/>
          <w:lang w:eastAsia="zh-CN"/>
        </w:rPr>
        <w:t>、</w:t>
      </w:r>
      <w:r>
        <w:rPr>
          <w:rFonts w:hint="eastAsia" w:ascii="仿宋_GB2312" w:eastAsia="仿宋_GB2312"/>
          <w:sz w:val="32"/>
          <w:szCs w:val="32"/>
        </w:rPr>
        <w:t>年度工作计划的相关</w:t>
      </w:r>
      <w:r>
        <w:rPr>
          <w:rFonts w:hint="eastAsia" w:ascii="仿宋_GB2312" w:eastAsia="仿宋_GB2312"/>
          <w:sz w:val="32"/>
          <w:szCs w:val="32"/>
          <w:lang w:eastAsia="zh-CN"/>
        </w:rPr>
        <w:t>性、合理性和明确性</w:t>
      </w:r>
      <w:r>
        <w:rPr>
          <w:rFonts w:hint="eastAsia" w:ascii="仿宋_GB2312" w:eastAsia="仿宋_GB2312"/>
          <w:sz w:val="32"/>
          <w:szCs w:val="32"/>
        </w:rPr>
        <w:t>。</w:t>
      </w:r>
    </w:p>
    <w:p w14:paraId="0AD10315">
      <w:pPr>
        <w:numPr>
          <w:numId w:val="0"/>
        </w:numPr>
        <w:ind w:right="0" w:rightChars="0" w:firstLine="640" w:firstLineChars="200"/>
        <w:jc w:val="left"/>
        <w:rPr>
          <w:rFonts w:hint="eastAsia" w:ascii="仿宋_GB2312" w:eastAsia="仿宋_GB2312"/>
          <w:sz w:val="32"/>
          <w:szCs w:val="32"/>
        </w:rPr>
      </w:pPr>
      <w:r>
        <w:rPr>
          <w:rFonts w:hint="eastAsia" w:ascii="仿宋_GB2312" w:eastAsia="仿宋_GB2312"/>
          <w:sz w:val="32"/>
          <w:szCs w:val="32"/>
        </w:rPr>
        <w:t>通过部门整体支出资金项目的实施。对单位做好妇联服务基层妇女工作、基层组织阵地建设工作、妇女创业就业工作、妇女儿童维权工作、妇女儿童帮扶工作开展起到了积极作用。</w:t>
      </w:r>
    </w:p>
    <w:p w14:paraId="54FE1F85">
      <w:pPr>
        <w:numPr>
          <w:numId w:val="0"/>
        </w:numPr>
        <w:ind w:right="0" w:rightChars="0" w:firstLine="640" w:firstLineChars="200"/>
        <w:jc w:val="left"/>
        <w:rPr>
          <w:rFonts w:hint="eastAsia" w:ascii="仿宋_GB2312" w:eastAsia="仿宋_GB2312"/>
          <w:sz w:val="32"/>
          <w:szCs w:val="32"/>
        </w:rPr>
      </w:pPr>
      <w:r>
        <w:rPr>
          <w:rFonts w:hint="eastAsia" w:ascii="仿宋_GB2312" w:eastAsia="仿宋_GB2312"/>
          <w:sz w:val="32"/>
          <w:szCs w:val="32"/>
        </w:rPr>
        <w:t>1、经济性分析。202</w:t>
      </w:r>
      <w:r>
        <w:rPr>
          <w:rFonts w:hint="eastAsia" w:ascii="仿宋_GB2312" w:eastAsia="仿宋_GB2312"/>
          <w:sz w:val="32"/>
          <w:szCs w:val="32"/>
          <w:lang w:val="en-US" w:eastAsia="zh-CN"/>
        </w:rPr>
        <w:t>3</w:t>
      </w:r>
      <w:r>
        <w:rPr>
          <w:rFonts w:hint="eastAsia" w:ascii="仿宋_GB2312" w:eastAsia="仿宋_GB2312"/>
          <w:sz w:val="32"/>
          <w:szCs w:val="32"/>
        </w:rPr>
        <w:t>年我单位整体部门支出资金</w:t>
      </w:r>
      <w:r>
        <w:rPr>
          <w:rFonts w:hint="eastAsia" w:ascii="仿宋_GB2312" w:eastAsia="仿宋_GB2312"/>
          <w:sz w:val="32"/>
          <w:szCs w:val="32"/>
          <w:highlight w:val="yellow"/>
        </w:rPr>
        <w:t>10</w:t>
      </w:r>
      <w:r>
        <w:rPr>
          <w:rFonts w:hint="eastAsia" w:ascii="仿宋_GB2312" w:eastAsia="仿宋_GB2312"/>
          <w:sz w:val="32"/>
          <w:szCs w:val="32"/>
          <w:highlight w:val="yellow"/>
          <w:lang w:val="en-US" w:eastAsia="zh-CN"/>
        </w:rPr>
        <w:t>8</w:t>
      </w:r>
      <w:r>
        <w:rPr>
          <w:rFonts w:hint="eastAsia" w:ascii="仿宋_GB2312" w:eastAsia="仿宋_GB2312"/>
          <w:sz w:val="32"/>
          <w:szCs w:val="32"/>
          <w:highlight w:val="yellow"/>
        </w:rPr>
        <w:t>.</w:t>
      </w:r>
      <w:r>
        <w:rPr>
          <w:rFonts w:hint="eastAsia" w:ascii="仿宋_GB2312" w:eastAsia="仿宋_GB2312"/>
          <w:sz w:val="32"/>
          <w:szCs w:val="32"/>
          <w:highlight w:val="yellow"/>
          <w:lang w:val="en-US" w:eastAsia="zh-CN"/>
        </w:rPr>
        <w:t>84</w:t>
      </w:r>
      <w:r>
        <w:rPr>
          <w:rFonts w:hint="eastAsia" w:ascii="仿宋_GB2312" w:eastAsia="仿宋_GB2312"/>
          <w:sz w:val="32"/>
          <w:szCs w:val="32"/>
        </w:rPr>
        <w:t>万元，本着“少花钱、多办事、办好事”的原则，严格控制“三公”经费的支出，“三公经费”控制率为100%。</w:t>
      </w:r>
    </w:p>
    <w:p w14:paraId="16183D97">
      <w:pPr>
        <w:numPr>
          <w:numId w:val="0"/>
        </w:numPr>
        <w:ind w:right="0" w:rightChars="0" w:firstLine="640" w:firstLineChars="200"/>
        <w:jc w:val="left"/>
        <w:rPr>
          <w:rFonts w:hint="eastAsia" w:ascii="仿宋_GB2312" w:eastAsia="仿宋_GB2312"/>
          <w:sz w:val="32"/>
          <w:szCs w:val="32"/>
        </w:rPr>
      </w:pPr>
      <w:r>
        <w:rPr>
          <w:rFonts w:hint="eastAsia" w:ascii="仿宋_GB2312" w:eastAsia="仿宋_GB2312"/>
          <w:sz w:val="32"/>
          <w:szCs w:val="32"/>
        </w:rPr>
        <w:t>2、效率性分析。根据部门整体支出目标，及时进行任务分工，进一步完善了财务制度，使财政收支预算执行得到了良好的制度保障和实施效果。工作任务完成率100%。</w:t>
      </w:r>
    </w:p>
    <w:p w14:paraId="44CE3ED4">
      <w:pPr>
        <w:numPr>
          <w:numId w:val="0"/>
        </w:numPr>
        <w:ind w:right="0" w:rightChars="0" w:firstLine="640" w:firstLineChars="200"/>
        <w:jc w:val="left"/>
        <w:rPr>
          <w:rFonts w:hint="eastAsia" w:ascii="仿宋_GB2312" w:eastAsia="仿宋_GB2312"/>
          <w:sz w:val="32"/>
          <w:szCs w:val="32"/>
        </w:rPr>
      </w:pPr>
      <w:r>
        <w:rPr>
          <w:rFonts w:hint="eastAsia" w:ascii="仿宋_GB2312" w:eastAsia="仿宋_GB2312"/>
          <w:sz w:val="32"/>
          <w:szCs w:val="32"/>
        </w:rPr>
        <w:t>3、效益性分析。通过部门整体支出资金项目的实施。对单位做好妇联服务基层妇女工作、基层组织阵地建设工作、妇女创业就业工作、妇女儿童维权工作、妇女儿童帮扶工作开展起到了积极作用。</w:t>
      </w:r>
    </w:p>
    <w:p w14:paraId="7E2CB6A6">
      <w:pPr>
        <w:ind w:left="0" w:leftChars="0" w:right="0" w:rightChars="0" w:firstLine="640" w:firstLineChars="200"/>
        <w:jc w:val="left"/>
        <w:rPr>
          <w:rFonts w:hint="eastAsia" w:ascii="仿宋_GB2312" w:eastAsia="仿宋_GB2312"/>
          <w:sz w:val="32"/>
          <w:szCs w:val="32"/>
        </w:rPr>
      </w:pPr>
      <w:r>
        <w:rPr>
          <w:rFonts w:hint="eastAsia" w:ascii="楷体_GB2312" w:hAnsi="楷体_GB2312" w:eastAsia="楷体_GB2312" w:cs="楷体_GB2312"/>
          <w:sz w:val="32"/>
        </w:rPr>
        <w:t>（四）部门整体支出情况。</w:t>
      </w:r>
      <w:r>
        <w:rPr>
          <w:rFonts w:hint="eastAsia" w:ascii="仿宋_GB2312" w:hAnsi="仿宋_GB2312" w:eastAsia="仿宋_GB2312"/>
          <w:sz w:val="32"/>
          <w:lang w:eastAsia="zh-CN"/>
        </w:rPr>
        <w:t>分析</w:t>
      </w:r>
      <w:r>
        <w:rPr>
          <w:rFonts w:hint="eastAsia" w:ascii="仿宋_GB2312" w:eastAsia="仿宋_GB2312"/>
          <w:sz w:val="32"/>
          <w:szCs w:val="32"/>
        </w:rPr>
        <w:t>部门预算收支构成、资金来源、近两年预算支出预决算数据对比等。</w:t>
      </w:r>
    </w:p>
    <w:p w14:paraId="0583A716">
      <w:pPr>
        <w:ind w:right="0" w:rightChars="0" w:firstLine="640" w:firstLineChars="200"/>
        <w:jc w:val="left"/>
        <w:rPr>
          <w:rFonts w:hint="eastAsia" w:ascii="仿宋_GB2312" w:eastAsia="仿宋_GB2312"/>
          <w:sz w:val="32"/>
          <w:szCs w:val="32"/>
        </w:rPr>
      </w:pPr>
      <w:r>
        <w:rPr>
          <w:rFonts w:hint="eastAsia" w:ascii="仿宋_GB2312" w:eastAsia="仿宋_GB2312"/>
          <w:sz w:val="32"/>
          <w:szCs w:val="32"/>
        </w:rPr>
        <w:t>2023年支出预算108.84万元，比上年减少1.61万元，下降1.45%。主要原因：专项资金项目经费支出减少。其中：一般公共预算拨款108.84万元，其他资金0万元。 2023年支出预算按用途划分，基本支出预算77.84万元，占71.52%，比上年增加7.39万元，上升10.48%。其中：工资福利支出70.14万元，对个人和家庭的补助0万元，商品和服务支出7.70万元，其他资本性支出等支出0万元；项目支出预算31元，占28.48%，比上年减少9万元，下降2.25%。 2023年一般公共预算拨款支出预算按用途划分，基本支出预算77.84万元，占71.52%，比上年增加7.39万元，上升10.48%。其中：工资福利支出70.14万元，对个人和家庭的补助0万元，商品和服务支出7.70万元，其他资本性支出等支出0万元；项目支出预算31元，占328.48%，比上年减少9万元，下降2.25%。</w:t>
      </w:r>
    </w:p>
    <w:p w14:paraId="3DCF75C3">
      <w:pPr>
        <w:ind w:left="0" w:leftChars="0" w:right="0" w:rightChars="0" w:firstLine="640" w:firstLineChars="200"/>
        <w:jc w:val="left"/>
        <w:rPr>
          <w:rFonts w:hint="eastAsia" w:ascii="黑体" w:hAnsi="黑体" w:eastAsia="黑体"/>
          <w:sz w:val="32"/>
        </w:rPr>
      </w:pPr>
      <w:r>
        <w:rPr>
          <w:rFonts w:hint="eastAsia" w:ascii="黑体" w:hAnsi="黑体" w:eastAsia="黑体"/>
          <w:sz w:val="32"/>
        </w:rPr>
        <w:t>二、绩效自评情况</w:t>
      </w:r>
    </w:p>
    <w:p w14:paraId="05CA9895">
      <w:pPr>
        <w:ind w:left="0" w:leftChars="0" w:right="0" w:rightChars="0" w:firstLine="640" w:firstLineChars="200"/>
        <w:jc w:val="left"/>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（一）履职效能分析</w:t>
      </w:r>
    </w:p>
    <w:p w14:paraId="3304B80B">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结合部门职能与年度总体工作、重点工作任务反映部门整体绩效目标的产出和效益情况及部门预算支出情况，分析存在问题和改进方向。</w:t>
      </w:r>
    </w:p>
    <w:p w14:paraId="0CD130FA">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预算执行有偏差。由于我单位工作调整性较大，项目支出存在临时安排变动，在预算执行中造成个别预算项目调整现象。</w:t>
      </w:r>
    </w:p>
    <w:p w14:paraId="7A0F23EF">
      <w:pPr>
        <w:ind w:left="0" w:leftChars="0" w:right="0" w:rightChars="0" w:firstLine="640" w:firstLineChars="200"/>
        <w:jc w:val="left"/>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（二）管理效率分析</w:t>
      </w:r>
    </w:p>
    <w:p w14:paraId="18884D22">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反映在预算编制、预算执行、信息公开、绩效管理、采购管理、资产管理、运行成本等方面的实施情况，分析存在问题和改进方向。</w:t>
      </w:r>
    </w:p>
    <w:p w14:paraId="0381716E">
      <w:pPr>
        <w:ind w:left="0" w:leftChars="0" w:right="0" w:rightChars="0" w:firstLine="640" w:firstLineChars="200"/>
        <w:jc w:val="left"/>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预算编制： 2023年支出预算108.84万元，比上年减少1.61万元，下降1.45%。主要原因：专项资金项目经费支出减少。其中：一般公共预算拨款108.84万元，其他资金0万元。 2023年支出预算按用途划分，基本支出预算77.84万元，占71.52%，比上年增加7.39万元，上升10.48%。其中：工资福利支出70.14万元，对个人和家庭的补助0万元，商品和服务支出7.70万元，其他资本性支出等支出0万元；项目支出预算31元，占28.48%，比上年减少9万元，下降2.25%。 2023年一般公共预算拨款支出预算按用途划分，基本支出预算77.84万元，占71.52%，比上年增加7.39万元，上升10.48%。其中：工资福利支出70.14万元，对个人和家庭的补助0万元，商品和服务支出7.70万元，其他资本性支出等支出0万元；项目支出预算31元，占328.48%，比上年减少9万元，下降2.25%。</w:t>
      </w:r>
    </w:p>
    <w:p w14:paraId="043B4240">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预算执行：在资金实施方面，本会严格按照国家和地方政府的财务管理规定，规范使用各项资金，确保每一笔资金都能发挥最大的效益。同时，我们也加强了对资金使用情况的监督和管理，定期对资金使用情况进行审计和检查，确保资金使用的透明度和规范性。</w:t>
      </w:r>
    </w:p>
    <w:p w14:paraId="0457711A">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资产管理：本年度配置资产总原值4.35万元，主要配置原因是：我单位购买了家具和办公设备。其中新购4.35万元，占配置资产的100%；调拨0万元，占配置资产的0%；接受捐赠0万元，占配置资产的0%；置换0万元，占配置资产的0%；其他0万元（主要是资产升值、价值变动、差错调整和盘盈），占配置资产的0%。</w:t>
      </w:r>
    </w:p>
    <w:p w14:paraId="326B579A">
      <w:pPr>
        <w:ind w:left="0" w:leftChars="0" w:right="0" w:rightChars="0" w:firstLine="640" w:firstLineChars="200"/>
        <w:jc w:val="left"/>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采购管理：专项资金实行预算管理。办公用房的建设和维修、公务用车的配备更新和运行、公共机构节能、后勤服务等项目资金和平台建设维护等各专项工作经费实行预算管理。由各部室根据业务工作开展的需要申报预算，经财务室初审汇总后按程序报领导审批。</w:t>
      </w:r>
    </w:p>
    <w:p w14:paraId="57FBE8E5">
      <w:pPr>
        <w:numPr>
          <w:ilvl w:val="0"/>
          <w:numId w:val="2"/>
        </w:numPr>
        <w:ind w:left="0" w:leftChars="0" w:right="0" w:rightChars="0" w:firstLine="640" w:firstLineChars="200"/>
        <w:jc w:val="left"/>
        <w:rPr>
          <w:rFonts w:hint="eastAsia" w:ascii="楷体_GB2312" w:hAnsi="楷体_GB2312" w:eastAsia="楷体_GB2312" w:cs="楷体_GB2312"/>
          <w:sz w:val="32"/>
        </w:rPr>
      </w:pPr>
      <w:r>
        <w:rPr>
          <w:rFonts w:hint="eastAsia" w:ascii="楷体_GB2312" w:hAnsi="楷体_GB2312" w:eastAsia="楷体_GB2312" w:cs="楷体_GB2312"/>
          <w:sz w:val="32"/>
        </w:rPr>
        <w:t>自评结论</w:t>
      </w:r>
    </w:p>
    <w:p w14:paraId="40880A8A">
      <w:pPr>
        <w:numPr>
          <w:ilvl w:val="0"/>
          <w:numId w:val="0"/>
        </w:numPr>
        <w:ind w:right="0" w:rightChars="0" w:firstLine="640" w:firstLineChars="200"/>
        <w:jc w:val="left"/>
        <w:rPr>
          <w:rFonts w:hint="eastAsia" w:ascii="仿宋_GB2312" w:hAnsi="仿宋_GB2312" w:eastAsia="仿宋_GB2312"/>
          <w:sz w:val="32"/>
          <w:lang w:eastAsia="zh-CN"/>
        </w:rPr>
      </w:pPr>
      <w:r>
        <w:rPr>
          <w:rFonts w:hint="eastAsia" w:ascii="仿宋_GB2312" w:eastAsia="仿宋_GB2312"/>
          <w:sz w:val="32"/>
          <w:szCs w:val="32"/>
        </w:rPr>
        <w:t>工作成果：经过全体工作人员的共同努力，本会在各方面都取得了显著的成绩。在促进妇女就业方面，我们成功举办了多场招聘会，为大量妇女提供了就业机会；在保障妇女权益方面，我们积极参与相关法律法规的制定和修改工作，为妇女维权提供了法律支持；在提升妇女素质方面，我们组织开展了各类培训活动，提高了妇女的综合素质和竞争力本单位202</w:t>
      </w:r>
      <w:r>
        <w:rPr>
          <w:rFonts w:hint="eastAsia" w:ascii="仿宋_GB2312" w:eastAsia="仿宋_GB2312"/>
          <w:sz w:val="32"/>
          <w:szCs w:val="32"/>
          <w:lang w:val="en-US" w:eastAsia="zh-CN"/>
        </w:rPr>
        <w:t>3</w:t>
      </w:r>
      <w:r>
        <w:rPr>
          <w:rFonts w:hint="eastAsia" w:ascii="仿宋_GB2312" w:eastAsia="仿宋_GB2312"/>
          <w:sz w:val="32"/>
          <w:szCs w:val="32"/>
        </w:rPr>
        <w:t>年度评价得分为9</w:t>
      </w:r>
      <w:r>
        <w:rPr>
          <w:rFonts w:hint="eastAsia" w:ascii="仿宋_GB2312" w:eastAsia="仿宋_GB2312"/>
          <w:sz w:val="32"/>
          <w:szCs w:val="32"/>
          <w:lang w:val="en-US" w:eastAsia="zh-CN"/>
        </w:rPr>
        <w:t>8</w:t>
      </w:r>
      <w:r>
        <w:rPr>
          <w:rFonts w:hint="eastAsia" w:ascii="仿宋_GB2312" w:eastAsia="仿宋_GB2312"/>
          <w:sz w:val="32"/>
          <w:szCs w:val="32"/>
        </w:rPr>
        <w:t>分，自我评价：优</w:t>
      </w:r>
      <w:bookmarkStart w:id="0" w:name="_GoBack"/>
      <w:bookmarkEnd w:id="0"/>
      <w:r>
        <w:rPr>
          <w:rFonts w:hint="eastAsia" w:ascii="仿宋_GB2312" w:eastAsia="仿宋_GB2312"/>
          <w:sz w:val="32"/>
          <w:szCs w:val="32"/>
        </w:rPr>
        <w:t>。</w:t>
      </w:r>
    </w:p>
    <w:p w14:paraId="6F1DA87D">
      <w:pPr>
        <w:numPr>
          <w:ilvl w:val="0"/>
          <w:numId w:val="3"/>
        </w:numPr>
        <w:ind w:left="0" w:leftChars="0" w:right="0" w:rightChars="0" w:firstLine="640" w:firstLineChars="200"/>
        <w:jc w:val="left"/>
        <w:rPr>
          <w:rFonts w:hint="eastAsia" w:ascii="黑体" w:hAnsi="黑体" w:eastAsia="黑体"/>
          <w:sz w:val="32"/>
        </w:rPr>
      </w:pPr>
      <w:r>
        <w:rPr>
          <w:rFonts w:hint="eastAsia" w:ascii="黑体" w:hAnsi="黑体" w:eastAsia="黑体"/>
          <w:sz w:val="32"/>
        </w:rPr>
        <w:t>存在问题及改进意见</w:t>
      </w:r>
    </w:p>
    <w:p w14:paraId="2EB9B4CC">
      <w:pPr>
        <w:numPr>
          <w:ilvl w:val="0"/>
          <w:numId w:val="0"/>
        </w:numPr>
        <w:ind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rPr>
        <w:t>就部门整体支出绩效管理存在问题</w:t>
      </w:r>
      <w:r>
        <w:rPr>
          <w:rFonts w:hint="eastAsia" w:ascii="仿宋_GB2312" w:hAnsi="仿宋_GB2312" w:eastAsia="仿宋_GB2312" w:cs="仿宋_GB2312"/>
          <w:sz w:val="32"/>
          <w:lang w:eastAsia="zh-CN"/>
        </w:rPr>
        <w:t>进行分析，</w:t>
      </w:r>
      <w:r>
        <w:rPr>
          <w:rFonts w:hint="eastAsia" w:ascii="仿宋_GB2312" w:hAnsi="仿宋_GB2312" w:eastAsia="仿宋_GB2312" w:cs="仿宋_GB2312"/>
          <w:sz w:val="32"/>
        </w:rPr>
        <w:t>提出改进措施</w:t>
      </w:r>
      <w:r>
        <w:rPr>
          <w:rFonts w:hint="eastAsia" w:ascii="仿宋_GB2312" w:hAnsi="仿宋_GB2312" w:eastAsia="仿宋_GB2312" w:cs="仿宋_GB2312"/>
          <w:sz w:val="32"/>
          <w:lang w:eastAsia="zh-CN"/>
        </w:rPr>
        <w:t>。</w:t>
      </w:r>
    </w:p>
    <w:p w14:paraId="4223599E">
      <w:pPr>
        <w:numPr>
          <w:ilvl w:val="0"/>
          <w:numId w:val="0"/>
        </w:numPr>
        <w:ind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1. 存在问题：虽然本会在过去的一年里取得了一定的成绩，但仍存在一些问题和不足。例如，部分工作人员的业务能力和素质还有待提高；部分工作项目的推进力度还不够大；部分服务对象的满意度还有待提升等。</w:t>
      </w:r>
    </w:p>
    <w:p w14:paraId="0952094A">
      <w:pPr>
        <w:numPr>
          <w:ilvl w:val="0"/>
          <w:numId w:val="0"/>
        </w:numPr>
        <w:ind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 改进措施：针对上述问题，我们将采取以下措施进行改进。首先，加强工作人员的培训和学习，提高其业务能力和素质；其次，加大工作项目的推进力度，确保各项任务能够按时完成；最后，加强与服务对象的沟通和交流，了解其需求和期望，不断提高服务质量和服务水平。</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GB2312">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D57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16219A">
                          <w:pPr>
                            <w:pStyle w:val="2"/>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A16219A">
                    <w:pPr>
                      <w:pStyle w:val="2"/>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96227"/>
    <w:multiLevelType w:val="singleLevel"/>
    <w:tmpl w:val="FB296227"/>
    <w:lvl w:ilvl="0" w:tentative="0">
      <w:start w:val="3"/>
      <w:numFmt w:val="chineseCounting"/>
      <w:suff w:val="nothing"/>
      <w:lvlText w:val="%1、"/>
      <w:lvlJc w:val="left"/>
      <w:rPr>
        <w:rFonts w:hint="eastAsia"/>
      </w:rPr>
    </w:lvl>
  </w:abstractNum>
  <w:abstractNum w:abstractNumId="1">
    <w:nsid w:val="34488C97"/>
    <w:multiLevelType w:val="singleLevel"/>
    <w:tmpl w:val="34488C97"/>
    <w:lvl w:ilvl="0" w:tentative="0">
      <w:start w:val="1"/>
      <w:numFmt w:val="chineseCounting"/>
      <w:suff w:val="nothing"/>
      <w:lvlText w:val="（%1）"/>
      <w:lvlJc w:val="left"/>
      <w:rPr>
        <w:rFonts w:hint="eastAsia"/>
      </w:rPr>
    </w:lvl>
  </w:abstractNum>
  <w:abstractNum w:abstractNumId="2">
    <w:nsid w:val="7289AB2E"/>
    <w:multiLevelType w:val="singleLevel"/>
    <w:tmpl w:val="7289AB2E"/>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MGQyODJjNmQ3OThlZThiNDA3NmRmMzIzY2RjYjMifQ=="/>
  </w:docVars>
  <w:rsids>
    <w:rsidRoot w:val="00172A27"/>
    <w:rsid w:val="10BB33AB"/>
    <w:rsid w:val="121B0F9A"/>
    <w:rsid w:val="19B07ACE"/>
    <w:rsid w:val="38FE7A29"/>
    <w:rsid w:val="3D987913"/>
    <w:rsid w:val="41E128A5"/>
    <w:rsid w:val="46326F64"/>
    <w:rsid w:val="467320EF"/>
    <w:rsid w:val="620204A2"/>
    <w:rsid w:val="69790883"/>
    <w:rsid w:val="6A974471"/>
    <w:rsid w:val="6C2B2226"/>
    <w:rsid w:val="6E971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正文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7">
    <w:name w:val="Normal New New New New"/>
    <w:uiPriority w:val="0"/>
    <w:pPr>
      <w:jc w:val="both"/>
    </w:pPr>
    <w:rPr>
      <w:rFonts w:ascii="Times New Roman" w:hAnsi="Times New Roman" w:eastAsia="宋体" w:cs="Times New Roman"/>
      <w:kern w:val="2"/>
      <w:sz w:val="21"/>
    </w:rPr>
  </w:style>
  <w:style w:type="paragraph" w:customStyle="1" w:styleId="8">
    <w:name w:val="Normal New New New"/>
    <w:uiPriority w:val="0"/>
    <w:pPr>
      <w:jc w:val="both"/>
    </w:pPr>
    <w:rPr>
      <w:rFonts w:ascii="Times New Roman" w:hAnsi="Times New Roman" w:eastAsia="宋体" w:cs="Times New Roman"/>
      <w:kern w:val="2"/>
      <w:sz w:val="21"/>
    </w:rPr>
  </w:style>
  <w:style w:type="paragraph" w:customStyle="1" w:styleId="9">
    <w:name w:val="Normal New New"/>
    <w:uiPriority w:val="0"/>
    <w:pPr>
      <w:jc w:val="both"/>
    </w:pPr>
    <w:rPr>
      <w:rFonts w:ascii="Times New Roman" w:hAnsi="Times New Roman" w:eastAsia="宋体" w:cs="Times New Roman"/>
      <w:kern w:val="2"/>
      <w:sz w:val="21"/>
    </w:rPr>
  </w:style>
  <w:style w:type="paragraph" w:customStyle="1" w:styleId="10">
    <w:name w:val="Normal New"/>
    <w:uiPriority w:val="0"/>
    <w:pPr>
      <w:jc w:val="both"/>
    </w:pPr>
    <w:rPr>
      <w:rFonts w:ascii="Times New Roman" w:hAnsi="Times New Roman" w:eastAsia="宋体" w:cs="Times New Roman"/>
      <w:kern w:val="2"/>
      <w:sz w:val="21"/>
    </w:rPr>
  </w:style>
  <w:style w:type="paragraph" w:customStyle="1" w:styleId="11">
    <w:name w:val="Normal New New New New New New"/>
    <w:uiPriority w:val="0"/>
    <w:pPr>
      <w:jc w:val="both"/>
    </w:pPr>
    <w:rPr>
      <w:rFonts w:ascii="Times New Roman" w:hAnsi="Times New Roman" w:eastAsia="宋体" w:cs="Times New Roman"/>
      <w:kern w:val="2"/>
      <w:sz w:val="21"/>
    </w:rPr>
  </w:style>
  <w:style w:type="paragraph" w:customStyle="1" w:styleId="12">
    <w:name w:val="正文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3">
    <w:name w:val="正文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4">
    <w:name w:val="正文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5">
    <w:name w:val="正文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6">
    <w:name w:val="正文 New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7">
    <w:name w:val="Normal New New New New New"/>
    <w:uiPriority w:val="0"/>
    <w:pPr>
      <w:jc w:val="both"/>
    </w:pPr>
    <w:rPr>
      <w:rFonts w:ascii="Times New Roman" w:hAnsi="Times New Roman" w:eastAsia="宋体" w:cs="Times New Roman"/>
      <w:kern w:val="2"/>
      <w:sz w:val="21"/>
    </w:rPr>
  </w:style>
  <w:style w:type="paragraph" w:customStyle="1" w:styleId="18">
    <w:name w:val="Normal"/>
    <w:uiPriority w:val="0"/>
    <w:pPr>
      <w:jc w:val="both"/>
    </w:pPr>
    <w:rPr>
      <w:rFonts w:ascii="Times New Roman" w:hAnsi="Times New Roman" w:eastAsia="宋体" w:cs="Times New Roman"/>
      <w:kern w:val="2"/>
      <w:sz w:val="21"/>
    </w:rPr>
  </w:style>
  <w:style w:type="paragraph" w:customStyle="1" w:styleId="19">
    <w:name w:val="正文 New New New New New New New"/>
    <w:uiPriority w:val="0"/>
    <w:pPr>
      <w:widowControl w:val="0"/>
      <w:jc w:val="both"/>
    </w:pPr>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2.1.0.17147\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6</Pages>
  <Words>559</Words>
  <Characters>559</Characters>
  <Lines>0</Lines>
  <Paragraphs>0</Paragraphs>
  <TotalTime>918</TotalTime>
  <ScaleCrop>false</ScaleCrop>
  <LinksUpToDate>false</LinksUpToDate>
  <CharactersWithSpaces>586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2011-09-13T11:13:00Z</dcterms:created>
  <dc:creator>Tian</dc:creator>
  <cp:lastModifiedBy>Sum</cp:lastModifiedBy>
  <cp:lastPrinted>2019-07-01T00:12:00Z</cp:lastPrinted>
  <dcterms:modified xsi:type="dcterms:W3CDTF">2024-07-17T00:55:59Z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83459919ECBC4C498C54E9916A089371_13</vt:lpwstr>
  </property>
</Properties>
</file>