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始兴县202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职业卫生</w:t>
      </w:r>
      <w:r>
        <w:rPr>
          <w:rFonts w:hint="eastAsia" w:ascii="方正小标宋简体" w:hAnsi="方正小标宋简体" w:eastAsia="方正小标宋简体" w:cs="方正小标宋简体"/>
          <w:sz w:val="44"/>
          <w:szCs w:val="44"/>
        </w:rPr>
        <w:t>国家</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“双随机</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一公开”监督抽</w:t>
      </w:r>
      <w:r>
        <w:rPr>
          <w:rFonts w:hint="eastAsia" w:ascii="方正小标宋简体" w:hAnsi="方正小标宋简体" w:eastAsia="方正小标宋简体" w:cs="方正小标宋简体"/>
          <w:sz w:val="44"/>
          <w:szCs w:val="44"/>
          <w:lang w:val="en-US" w:eastAsia="zh-CN"/>
        </w:rPr>
        <w:t>查</w:t>
      </w:r>
      <w:r>
        <w:rPr>
          <w:rFonts w:hint="eastAsia" w:ascii="方正小标宋简体" w:hAnsi="方正小标宋简体" w:eastAsia="方正小标宋简体" w:cs="方正小标宋简体"/>
          <w:sz w:val="44"/>
          <w:szCs w:val="44"/>
        </w:rPr>
        <w:t>结果信息公示</w:t>
      </w:r>
    </w:p>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韶关市卫生健康局办公室关于印发〈2024 年韶关市随机监督抽查计划实施方案〉的通知》要求，</w:t>
      </w:r>
      <w:r>
        <w:rPr>
          <w:rFonts w:hint="eastAsia" w:ascii="仿宋_GB2312" w:hAnsi="仿宋_GB2312" w:eastAsia="仿宋_GB2312" w:cs="仿宋_GB2312"/>
          <w:sz w:val="32"/>
          <w:szCs w:val="32"/>
          <w:lang w:eastAsia="zh-CN"/>
        </w:rPr>
        <w:t>按照附件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 年职业卫生放射卫生国家随机监督抽查计划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中附表2《2024年用人单位职业卫生国家随机监督抽查任务清单》</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年随机抽取了我县</w:t>
      </w:r>
      <w:r>
        <w:rPr>
          <w:rFonts w:hint="eastAsia" w:ascii="仿宋_GB2312" w:hAnsi="仿宋_GB2312" w:eastAsia="仿宋_GB2312" w:cs="仿宋_GB2312"/>
          <w:sz w:val="32"/>
          <w:szCs w:val="32"/>
          <w:lang w:val="en-US" w:eastAsia="zh-CN"/>
        </w:rPr>
        <w:t>9家企业</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用人单位职业卫生</w:t>
      </w:r>
      <w:r>
        <w:rPr>
          <w:rFonts w:hint="eastAsia" w:ascii="仿宋_GB2312" w:hAnsi="仿宋_GB2312" w:eastAsia="仿宋_GB2312" w:cs="仿宋_GB2312"/>
          <w:sz w:val="32"/>
          <w:szCs w:val="32"/>
        </w:rPr>
        <w:t>双随机监督</w:t>
      </w:r>
      <w:r>
        <w:rPr>
          <w:rFonts w:hint="eastAsia" w:ascii="仿宋_GB2312" w:hAnsi="仿宋_GB2312" w:eastAsia="仿宋_GB2312" w:cs="仿宋_GB2312"/>
          <w:sz w:val="32"/>
          <w:szCs w:val="32"/>
          <w:lang w:eastAsia="zh-CN"/>
        </w:rPr>
        <w:t>抽查</w:t>
      </w:r>
      <w:r>
        <w:rPr>
          <w:rFonts w:hint="eastAsia" w:ascii="仿宋_GB2312" w:hAnsi="仿宋_GB2312" w:eastAsia="仿宋_GB2312" w:cs="仿宋_GB2312"/>
          <w:sz w:val="32"/>
          <w:szCs w:val="32"/>
        </w:rPr>
        <w:t>对象</w:t>
      </w:r>
      <w:r>
        <w:rPr>
          <w:rFonts w:hint="eastAsia" w:ascii="仿宋_GB2312" w:hAnsi="仿宋_GB2312" w:eastAsia="仿宋_GB2312" w:cs="仿宋_GB2312"/>
          <w:sz w:val="32"/>
          <w:szCs w:val="32"/>
          <w:lang w:eastAsia="zh-CN"/>
        </w:rPr>
        <w:t>。在始兴县卫生健康局组织下，始兴</w:t>
      </w:r>
      <w:r>
        <w:rPr>
          <w:rFonts w:hint="eastAsia" w:ascii="仿宋_GB2312" w:hAnsi="仿宋_GB2312" w:eastAsia="仿宋_GB2312" w:cs="仿宋_GB2312"/>
          <w:sz w:val="32"/>
          <w:szCs w:val="32"/>
        </w:rPr>
        <w:t>县卫生监督所对</w:t>
      </w:r>
      <w:r>
        <w:rPr>
          <w:rFonts w:hint="eastAsia" w:ascii="仿宋_GB2312" w:hAnsi="仿宋_GB2312" w:eastAsia="仿宋_GB2312" w:cs="仿宋_GB2312"/>
          <w:sz w:val="32"/>
          <w:szCs w:val="32"/>
          <w:lang w:eastAsia="zh-CN"/>
        </w:rPr>
        <w:t>这</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用人</w:t>
      </w:r>
      <w:r>
        <w:rPr>
          <w:rFonts w:hint="eastAsia" w:ascii="仿宋_GB2312" w:hAnsi="仿宋_GB2312" w:eastAsia="仿宋_GB2312" w:cs="仿宋_GB2312"/>
          <w:sz w:val="32"/>
          <w:szCs w:val="32"/>
        </w:rPr>
        <w:t>单位进行</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监督检查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其中有3家用人单位抽检不合格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按照“谁检查、谁录入、谁公开”的原则，现将我县202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职业卫生</w:t>
      </w:r>
      <w:r>
        <w:rPr>
          <w:rFonts w:hint="eastAsia" w:ascii="仿宋_GB2312" w:hAnsi="仿宋_GB2312" w:eastAsia="仿宋_GB2312" w:cs="仿宋_GB2312"/>
          <w:sz w:val="32"/>
          <w:szCs w:val="32"/>
        </w:rPr>
        <w:t>“双随机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一公开</w:t>
      </w:r>
      <w:r>
        <w:rPr>
          <w:rFonts w:hint="eastAsia" w:ascii="仿宋_GB2312" w:hAnsi="仿宋_GB2312" w:eastAsia="仿宋_GB2312" w:cs="仿宋_GB2312"/>
          <w:sz w:val="32"/>
          <w:szCs w:val="32"/>
        </w:rPr>
        <w:t>”监督</w:t>
      </w:r>
      <w:r>
        <w:rPr>
          <w:rFonts w:hint="eastAsia" w:ascii="仿宋_GB2312" w:hAnsi="仿宋_GB2312" w:eastAsia="仿宋_GB2312" w:cs="仿宋_GB2312"/>
          <w:sz w:val="32"/>
          <w:szCs w:val="32"/>
          <w:lang w:eastAsia="zh-CN"/>
        </w:rPr>
        <w:t>抽查</w:t>
      </w:r>
      <w:r>
        <w:rPr>
          <w:rFonts w:hint="eastAsia" w:ascii="仿宋_GB2312" w:hAnsi="仿宋_GB2312" w:eastAsia="仿宋_GB2312" w:cs="仿宋_GB2312"/>
          <w:sz w:val="32"/>
          <w:szCs w:val="32"/>
        </w:rPr>
        <w:t>结果公示如下,详</w:t>
      </w:r>
      <w:r>
        <w:rPr>
          <w:rFonts w:hint="eastAsia" w:ascii="仿宋_GB2312" w:hAnsi="仿宋_GB2312" w:eastAsia="仿宋_GB2312" w:cs="仿宋_GB2312"/>
          <w:sz w:val="32"/>
          <w:szCs w:val="32"/>
          <w:lang w:eastAsia="zh-CN"/>
        </w:rPr>
        <w:t>见</w:t>
      </w:r>
      <w:r>
        <w:rPr>
          <w:rFonts w:hint="eastAsia" w:ascii="仿宋_GB2312" w:hAnsi="仿宋_GB2312" w:eastAsia="仿宋_GB2312" w:cs="仿宋_GB2312"/>
          <w:sz w:val="32"/>
          <w:szCs w:val="32"/>
        </w:rPr>
        <w:t>附件。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公示单位（盖章）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1984" w:right="1474" w:bottom="1701" w:left="1587" w:header="851" w:footer="992" w:gutter="0"/>
          <w:pgBorders>
            <w:top w:val="none" w:sz="0" w:space="0"/>
            <w:left w:val="none" w:sz="0" w:space="0"/>
            <w:bottom w:val="none" w:sz="0" w:space="0"/>
            <w:right w:val="none" w:sz="0" w:space="0"/>
          </w:pgBorders>
          <w:cols w:space="0" w:num="1"/>
          <w:docGrid w:type="lines" w:linePitch="312" w:charSpace="0"/>
        </w:sectPr>
      </w:pPr>
    </w:p>
    <w:tbl>
      <w:tblPr>
        <w:tblStyle w:val="6"/>
        <w:tblW w:w="139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85"/>
        <w:gridCol w:w="3962"/>
        <w:gridCol w:w="1740"/>
        <w:gridCol w:w="1680"/>
        <w:gridCol w:w="3285"/>
        <w:gridCol w:w="2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394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6"/>
                <w:szCs w:val="36"/>
                <w:u w:val="none"/>
                <w:lang w:val="en-US" w:eastAsia="zh-CN" w:bidi="ar"/>
              </w:rPr>
              <w:t>始兴县2024年职业卫生“双随机”监督抽查结果信息公示表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9"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序号</w:t>
            </w:r>
          </w:p>
        </w:tc>
        <w:tc>
          <w:tcPr>
            <w:tcW w:w="3962"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被抽查单位</w:t>
            </w:r>
          </w:p>
        </w:tc>
        <w:tc>
          <w:tcPr>
            <w:tcW w:w="17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抽查类别</w:t>
            </w:r>
          </w:p>
        </w:tc>
        <w:tc>
          <w:tcPr>
            <w:tcW w:w="16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抽查</w:t>
            </w:r>
            <w:bookmarkStart w:id="0" w:name="_GoBack"/>
            <w:bookmarkEnd w:id="0"/>
            <w:r>
              <w:rPr>
                <w:rFonts w:hint="eastAsia" w:ascii="仿宋_GB2312" w:hAnsi="宋体" w:eastAsia="仿宋_GB2312" w:cs="仿宋_GB2312"/>
                <w:b/>
                <w:bCs/>
                <w:i w:val="0"/>
                <w:iCs w:val="0"/>
                <w:color w:val="000000"/>
                <w:kern w:val="0"/>
                <w:sz w:val="28"/>
                <w:szCs w:val="28"/>
                <w:u w:val="none"/>
                <w:lang w:val="en-US" w:eastAsia="zh-CN" w:bidi="ar"/>
              </w:rPr>
              <w:t>结果</w:t>
            </w:r>
          </w:p>
        </w:tc>
        <w:tc>
          <w:tcPr>
            <w:tcW w:w="32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不合格事项</w:t>
            </w:r>
          </w:p>
        </w:tc>
        <w:tc>
          <w:tcPr>
            <w:tcW w:w="229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8"/>
                <w:szCs w:val="28"/>
                <w:u w:val="none"/>
              </w:rPr>
            </w:pPr>
            <w:r>
              <w:rPr>
                <w:rFonts w:hint="eastAsia" w:ascii="仿宋_GB2312" w:hAnsi="宋体" w:eastAsia="仿宋_GB2312" w:cs="仿宋_GB2312"/>
                <w:b/>
                <w:bCs/>
                <w:i w:val="0"/>
                <w:iCs w:val="0"/>
                <w:color w:val="000000"/>
                <w:kern w:val="0"/>
                <w:sz w:val="28"/>
                <w:szCs w:val="28"/>
                <w:u w:val="none"/>
                <w:lang w:val="en-US" w:eastAsia="zh-CN" w:bidi="ar"/>
              </w:rPr>
              <w:t>处理情况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240" w:beforeLines="0" w:line="700" w:lineRule="exact"/>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1"/>
                <w:sz w:val="24"/>
                <w:szCs w:val="24"/>
              </w:rPr>
              <w:t>广东始兴县华洲木业</w:t>
            </w:r>
            <w:r>
              <w:rPr>
                <w:rFonts w:hint="eastAsia" w:ascii="仿宋_GB2312" w:hAnsi="仿宋_GB2312" w:eastAsia="仿宋_GB2312" w:cs="仿宋_GB2312"/>
                <w:sz w:val="24"/>
                <w:szCs w:val="24"/>
              </w:rPr>
              <w:t>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建材</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未按照规定组织从事接触职业病危害的作业的劳动者进行职业健康检查</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警告，责令整改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240" w:line="240" w:lineRule="auto"/>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广东标准电机科技有限公司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其他用人单位</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无</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default" w:ascii="仿宋_GB2312" w:hAnsi="仿宋_GB2312" w:eastAsia="仿宋_GB2312" w:cs="仿宋_GB2312"/>
                <w:i w:val="0"/>
                <w:iCs w:val="0"/>
                <w:color w:val="000000"/>
                <w:sz w:val="24"/>
                <w:szCs w:val="24"/>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240" w:beforeLines="0" w:line="700" w:lineRule="exact"/>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1"/>
                <w:sz w:val="24"/>
                <w:szCs w:val="24"/>
                <w:lang w:val="en-US" w:eastAsia="zh-CN"/>
              </w:rPr>
              <w:t>永光实业（韶关）有限公司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其他用人单位</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未按照规定组织从事接触职业病危害的作业的劳动者进行职业健康检查</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警告，责令整改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480" w:beforeLines="0" w:line="216" w:lineRule="auto"/>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
                <w:sz w:val="24"/>
                <w:szCs w:val="24"/>
              </w:rPr>
              <w:t>始兴县恒成商品混凝土有限公司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其他用人单位</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240" w:beforeLines="0" w:line="700" w:lineRule="exact"/>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2"/>
                <w:sz w:val="24"/>
                <w:szCs w:val="24"/>
              </w:rPr>
              <w:t>韩雪（始兴）化妆用具有限公司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其他用人单位</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sz w:val="24"/>
                <w:szCs w:val="24"/>
                <w:u w:val="none"/>
                <w:lang w:val="en-US" w:eastAsia="zh-CN"/>
              </w:rPr>
              <w:t>未按照规定组织从事接触职业病危害的作业的劳动者进行职业健康检查</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sz w:val="24"/>
                <w:szCs w:val="24"/>
                <w:u w:val="none"/>
                <w:lang w:val="en-US" w:eastAsia="zh-CN"/>
              </w:rPr>
              <w:t>警告，责令整改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240" w:beforeLines="0" w:line="218" w:lineRule="auto"/>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8"/>
                <w:sz w:val="24"/>
                <w:szCs w:val="24"/>
              </w:rPr>
              <w:t>尼得科电子有限公司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其他用人单位</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auto"/>
              <w:jc w:val="center"/>
              <w:rPr>
                <w:rFonts w:hint="eastAsia" w:ascii="仿宋_GB2312" w:hAnsi="仿宋_GB2312" w:eastAsia="仿宋_GB2312" w:cs="仿宋_GB2312"/>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240" w:beforeLines="0" w:line="218" w:lineRule="auto"/>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pacing w:val="-1"/>
                <w:sz w:val="24"/>
                <w:szCs w:val="24"/>
              </w:rPr>
              <w:t>广东博泰纸业有限公司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其他用人单位</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240" w:beforeLines="0" w:line="217" w:lineRule="auto"/>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高森五金制品（韶关）有限公司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其他用人单位</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auto"/>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9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3962" w:type="dxa"/>
            <w:tcBorders>
              <w:top w:val="single" w:color="000000" w:sz="8" w:space="0"/>
              <w:left w:val="single" w:color="000000" w:sz="8" w:space="0"/>
              <w:bottom w:val="single" w:color="000000" w:sz="8" w:space="0"/>
              <w:right w:val="single" w:color="000000" w:sz="8" w:space="0"/>
            </w:tcBorders>
            <w:shd w:val="clear" w:color="auto" w:fill="auto"/>
            <w:noWrap/>
            <w:vAlign w:val="top"/>
          </w:tcPr>
          <w:p>
            <w:pPr>
              <w:keepNext w:val="0"/>
              <w:keepLines w:val="0"/>
              <w:pageBreakBefore w:val="0"/>
              <w:widowControl w:val="0"/>
              <w:kinsoku/>
              <w:wordWrap/>
              <w:overflowPunct/>
              <w:topLinePunct w:val="0"/>
              <w:autoSpaceDE/>
              <w:autoSpaceDN/>
              <w:bidi w:val="0"/>
              <w:adjustRightInd/>
              <w:snapToGrid/>
              <w:spacing w:before="240" w:beforeLines="0" w:line="217" w:lineRule="auto"/>
              <w:ind w:left="0" w:lef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广东喜洋洋纸业有限公司</w:t>
            </w:r>
          </w:p>
        </w:tc>
        <w:tc>
          <w:tcPr>
            <w:tcW w:w="174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其他用人单位</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合格</w:t>
            </w:r>
          </w:p>
        </w:tc>
        <w:tc>
          <w:tcPr>
            <w:tcW w:w="328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480" w:lineRule="auto"/>
              <w:jc w:val="center"/>
              <w:textAlignment w:val="center"/>
              <w:rPr>
                <w:rFonts w:hint="default"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无</w:t>
            </w:r>
          </w:p>
        </w:tc>
        <w:tc>
          <w:tcPr>
            <w:tcW w:w="229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480" w:lineRule="auto"/>
              <w:jc w:val="center"/>
              <w:rPr>
                <w:rFonts w:hint="default" w:ascii="仿宋_GB2312" w:hAnsi="仿宋_GB2312" w:eastAsia="仿宋_GB2312" w:cs="仿宋_GB2312"/>
                <w:i w:val="0"/>
                <w:iCs w:val="0"/>
                <w:color w:val="000000"/>
                <w:sz w:val="24"/>
                <w:szCs w:val="24"/>
                <w:u w:val="none"/>
                <w:lang w:val="en-US" w:eastAsia="zh-CN"/>
              </w:rPr>
            </w:pPr>
          </w:p>
        </w:tc>
      </w:tr>
    </w:tbl>
    <w:p>
      <w:pPr>
        <w:jc w:val="center"/>
        <w:rPr>
          <w:rFonts w:hint="eastAsia" w:ascii="仿宋_GB2312" w:hAnsi="仿宋_GB2312" w:eastAsia="仿宋_GB2312" w:cs="仿宋_GB2312"/>
          <w:sz w:val="24"/>
          <w:szCs w:val="24"/>
        </w:rPr>
      </w:pPr>
    </w:p>
    <w:sectPr>
      <w:pgSz w:w="16838" w:h="11906" w:orient="landscape"/>
      <w:pgMar w:top="1134" w:right="1440" w:bottom="1134"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wNzdmODZkMDg4YTA0ZTM2NTAxM2U1NmIzOGViMWQifQ=="/>
    <w:docVar w:name="KSO_WPS_MARK_KEY" w:val="81141780-f119-48af-8a0d-e5d65a37506a"/>
  </w:docVars>
  <w:rsids>
    <w:rsidRoot w:val="3D627193"/>
    <w:rsid w:val="002816B6"/>
    <w:rsid w:val="00442327"/>
    <w:rsid w:val="004F6F66"/>
    <w:rsid w:val="006C6DC0"/>
    <w:rsid w:val="006F4739"/>
    <w:rsid w:val="00815578"/>
    <w:rsid w:val="00907F13"/>
    <w:rsid w:val="00927A18"/>
    <w:rsid w:val="00B124DD"/>
    <w:rsid w:val="00B531AF"/>
    <w:rsid w:val="00C16773"/>
    <w:rsid w:val="00C40BD7"/>
    <w:rsid w:val="00CD1CF1"/>
    <w:rsid w:val="00D56349"/>
    <w:rsid w:val="00D86163"/>
    <w:rsid w:val="00DD678B"/>
    <w:rsid w:val="00DF6D9C"/>
    <w:rsid w:val="00E1484D"/>
    <w:rsid w:val="00E83BAC"/>
    <w:rsid w:val="01086D94"/>
    <w:rsid w:val="02A576D7"/>
    <w:rsid w:val="02F63A93"/>
    <w:rsid w:val="03413A6E"/>
    <w:rsid w:val="04A2603A"/>
    <w:rsid w:val="04AA055B"/>
    <w:rsid w:val="06064987"/>
    <w:rsid w:val="063778A7"/>
    <w:rsid w:val="078F75A3"/>
    <w:rsid w:val="08045401"/>
    <w:rsid w:val="084702C5"/>
    <w:rsid w:val="0B7A604A"/>
    <w:rsid w:val="0B890395"/>
    <w:rsid w:val="0B8E7304"/>
    <w:rsid w:val="0B9D033A"/>
    <w:rsid w:val="0C9D245E"/>
    <w:rsid w:val="0CED148C"/>
    <w:rsid w:val="0DDB12D3"/>
    <w:rsid w:val="0EA64893"/>
    <w:rsid w:val="0FB7614D"/>
    <w:rsid w:val="0FEA12D7"/>
    <w:rsid w:val="10D14C1A"/>
    <w:rsid w:val="10D754B8"/>
    <w:rsid w:val="117F3355"/>
    <w:rsid w:val="11B27524"/>
    <w:rsid w:val="125C6A08"/>
    <w:rsid w:val="130C6627"/>
    <w:rsid w:val="13145ED1"/>
    <w:rsid w:val="150B3E97"/>
    <w:rsid w:val="15A64A3A"/>
    <w:rsid w:val="165D60A9"/>
    <w:rsid w:val="1815045A"/>
    <w:rsid w:val="187F1BCD"/>
    <w:rsid w:val="192E49F5"/>
    <w:rsid w:val="196518ED"/>
    <w:rsid w:val="1B3F3F2D"/>
    <w:rsid w:val="1BC765DF"/>
    <w:rsid w:val="1DDF07A2"/>
    <w:rsid w:val="1DE86884"/>
    <w:rsid w:val="1E500FE8"/>
    <w:rsid w:val="1E882369"/>
    <w:rsid w:val="1F301388"/>
    <w:rsid w:val="1F62220F"/>
    <w:rsid w:val="204E5C20"/>
    <w:rsid w:val="22443008"/>
    <w:rsid w:val="22465A59"/>
    <w:rsid w:val="23442661"/>
    <w:rsid w:val="2448512B"/>
    <w:rsid w:val="24952DD8"/>
    <w:rsid w:val="25211DA3"/>
    <w:rsid w:val="266108D0"/>
    <w:rsid w:val="29537B0F"/>
    <w:rsid w:val="29C23CC1"/>
    <w:rsid w:val="29C90BCC"/>
    <w:rsid w:val="2A0E2882"/>
    <w:rsid w:val="2BAC74BD"/>
    <w:rsid w:val="2D063A5D"/>
    <w:rsid w:val="2D4332A2"/>
    <w:rsid w:val="2D4D1BF3"/>
    <w:rsid w:val="2DE352C2"/>
    <w:rsid w:val="2E64120B"/>
    <w:rsid w:val="2E6D56F2"/>
    <w:rsid w:val="2EAF191E"/>
    <w:rsid w:val="304C0F61"/>
    <w:rsid w:val="31547D9B"/>
    <w:rsid w:val="319070B7"/>
    <w:rsid w:val="31A97F10"/>
    <w:rsid w:val="327C62D4"/>
    <w:rsid w:val="3330226F"/>
    <w:rsid w:val="337A653B"/>
    <w:rsid w:val="34152B57"/>
    <w:rsid w:val="3421522B"/>
    <w:rsid w:val="3440251F"/>
    <w:rsid w:val="345F7640"/>
    <w:rsid w:val="352634DB"/>
    <w:rsid w:val="358110A8"/>
    <w:rsid w:val="36CE6D9B"/>
    <w:rsid w:val="38432056"/>
    <w:rsid w:val="38E01244"/>
    <w:rsid w:val="3A7A2846"/>
    <w:rsid w:val="3AA57D22"/>
    <w:rsid w:val="3ABF0F60"/>
    <w:rsid w:val="3B631A38"/>
    <w:rsid w:val="3B7C3356"/>
    <w:rsid w:val="3CDB1D38"/>
    <w:rsid w:val="3D1C6E90"/>
    <w:rsid w:val="3D627193"/>
    <w:rsid w:val="3DB94B4C"/>
    <w:rsid w:val="3E29519F"/>
    <w:rsid w:val="3F0A020C"/>
    <w:rsid w:val="3F1169AE"/>
    <w:rsid w:val="3F133FDA"/>
    <w:rsid w:val="3F3236B9"/>
    <w:rsid w:val="3F7C7026"/>
    <w:rsid w:val="3FB536A5"/>
    <w:rsid w:val="3FF01734"/>
    <w:rsid w:val="3FF73134"/>
    <w:rsid w:val="400B1A02"/>
    <w:rsid w:val="404D751C"/>
    <w:rsid w:val="41024C9E"/>
    <w:rsid w:val="41D01258"/>
    <w:rsid w:val="42E8678F"/>
    <w:rsid w:val="43BB71D1"/>
    <w:rsid w:val="445C04DD"/>
    <w:rsid w:val="44CC049B"/>
    <w:rsid w:val="44F444D2"/>
    <w:rsid w:val="468259E9"/>
    <w:rsid w:val="475754E5"/>
    <w:rsid w:val="48397881"/>
    <w:rsid w:val="48D96452"/>
    <w:rsid w:val="491779BA"/>
    <w:rsid w:val="495F0C7B"/>
    <w:rsid w:val="49707EB3"/>
    <w:rsid w:val="4A097A7E"/>
    <w:rsid w:val="4DD61F19"/>
    <w:rsid w:val="4E0F09AD"/>
    <w:rsid w:val="4ECD6849"/>
    <w:rsid w:val="4F7C3CD3"/>
    <w:rsid w:val="50E61A08"/>
    <w:rsid w:val="51864667"/>
    <w:rsid w:val="51AC404F"/>
    <w:rsid w:val="52B535C1"/>
    <w:rsid w:val="53400C1B"/>
    <w:rsid w:val="53DA6056"/>
    <w:rsid w:val="54F873B8"/>
    <w:rsid w:val="57F27396"/>
    <w:rsid w:val="588C1968"/>
    <w:rsid w:val="5A515648"/>
    <w:rsid w:val="5AA441EC"/>
    <w:rsid w:val="5B3C3CE4"/>
    <w:rsid w:val="5BA71CC6"/>
    <w:rsid w:val="5CE60A06"/>
    <w:rsid w:val="5D802E62"/>
    <w:rsid w:val="5F8612EB"/>
    <w:rsid w:val="5FCD0F96"/>
    <w:rsid w:val="607D6A62"/>
    <w:rsid w:val="613C09C4"/>
    <w:rsid w:val="615A0598"/>
    <w:rsid w:val="617C0EB1"/>
    <w:rsid w:val="62A27A1A"/>
    <w:rsid w:val="63B53C68"/>
    <w:rsid w:val="63F41ACC"/>
    <w:rsid w:val="6438249F"/>
    <w:rsid w:val="66CC0AF0"/>
    <w:rsid w:val="67F96C0F"/>
    <w:rsid w:val="686F741B"/>
    <w:rsid w:val="68EE3A37"/>
    <w:rsid w:val="692A7762"/>
    <w:rsid w:val="6BB74331"/>
    <w:rsid w:val="6BD34E9C"/>
    <w:rsid w:val="6D6A192D"/>
    <w:rsid w:val="6D6B5E7A"/>
    <w:rsid w:val="6D8269F8"/>
    <w:rsid w:val="6DCB248A"/>
    <w:rsid w:val="6E3A339D"/>
    <w:rsid w:val="6F0727FD"/>
    <w:rsid w:val="6FEB0F12"/>
    <w:rsid w:val="70150598"/>
    <w:rsid w:val="70AC298C"/>
    <w:rsid w:val="725011E7"/>
    <w:rsid w:val="72E2718A"/>
    <w:rsid w:val="738D5BCB"/>
    <w:rsid w:val="738E050A"/>
    <w:rsid w:val="74832712"/>
    <w:rsid w:val="74C707BD"/>
    <w:rsid w:val="768173AB"/>
    <w:rsid w:val="76B01067"/>
    <w:rsid w:val="779115B6"/>
    <w:rsid w:val="78112BE1"/>
    <w:rsid w:val="783A240A"/>
    <w:rsid w:val="78DE08D0"/>
    <w:rsid w:val="79963B55"/>
    <w:rsid w:val="7AE3799E"/>
    <w:rsid w:val="7BCD2B4D"/>
    <w:rsid w:val="7BE57F15"/>
    <w:rsid w:val="7BFF0724"/>
    <w:rsid w:val="7C4B40F4"/>
    <w:rsid w:val="7CA1737F"/>
    <w:rsid w:val="7D314BFD"/>
    <w:rsid w:val="7DD9520C"/>
    <w:rsid w:val="7DE151CA"/>
    <w:rsid w:val="7F78533B"/>
    <w:rsid w:val="7F7D009F"/>
    <w:rsid w:val="7FA86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TML Definition"/>
    <w:basedOn w:val="7"/>
    <w:qFormat/>
    <w:uiPriority w:val="0"/>
    <w:rPr>
      <w:i/>
    </w:rPr>
  </w:style>
  <w:style w:type="character" w:styleId="11">
    <w:name w:val="Hyperlink"/>
    <w:basedOn w:val="7"/>
    <w:qFormat/>
    <w:uiPriority w:val="0"/>
    <w:rPr>
      <w:color w:val="0000FF"/>
      <w:u w:val="none"/>
    </w:rPr>
  </w:style>
  <w:style w:type="character" w:styleId="12">
    <w:name w:val="HTML Code"/>
    <w:basedOn w:val="7"/>
    <w:qFormat/>
    <w:uiPriority w:val="0"/>
    <w:rPr>
      <w:rFonts w:hint="default" w:ascii="monospace" w:hAnsi="monospace" w:eastAsia="monospace" w:cs="monospace"/>
      <w:sz w:val="21"/>
      <w:szCs w:val="21"/>
    </w:rPr>
  </w:style>
  <w:style w:type="character" w:styleId="13">
    <w:name w:val="HTML Keyboard"/>
    <w:basedOn w:val="7"/>
    <w:qFormat/>
    <w:uiPriority w:val="0"/>
    <w:rPr>
      <w:rFonts w:hint="default" w:ascii="monospace" w:hAnsi="monospace" w:eastAsia="monospace" w:cs="monospace"/>
      <w:sz w:val="21"/>
      <w:szCs w:val="21"/>
    </w:rPr>
  </w:style>
  <w:style w:type="character" w:styleId="14">
    <w:name w:val="HTML Sample"/>
    <w:basedOn w:val="7"/>
    <w:qFormat/>
    <w:uiPriority w:val="0"/>
    <w:rPr>
      <w:rFonts w:ascii="monospace" w:hAnsi="monospace" w:eastAsia="monospace" w:cs="monospace"/>
      <w:sz w:val="21"/>
      <w:szCs w:val="21"/>
    </w:rPr>
  </w:style>
  <w:style w:type="character" w:customStyle="1" w:styleId="15">
    <w:name w:val="font11"/>
    <w:basedOn w:val="7"/>
    <w:qFormat/>
    <w:uiPriority w:val="0"/>
    <w:rPr>
      <w:rFonts w:hint="eastAsia" w:ascii="宋体" w:hAnsi="宋体" w:eastAsia="宋体" w:cs="宋体"/>
      <w:color w:val="000000"/>
      <w:sz w:val="32"/>
      <w:szCs w:val="32"/>
      <w:u w:val="none"/>
    </w:rPr>
  </w:style>
  <w:style w:type="character" w:customStyle="1" w:styleId="16">
    <w:name w:val="button"/>
    <w:basedOn w:val="7"/>
    <w:qFormat/>
    <w:uiPriority w:val="0"/>
  </w:style>
  <w:style w:type="character" w:customStyle="1" w:styleId="17">
    <w:name w:val="tmpztreemove_arrow"/>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635</Words>
  <Characters>656</Characters>
  <Lines>12</Lines>
  <Paragraphs>3</Paragraphs>
  <TotalTime>16</TotalTime>
  <ScaleCrop>false</ScaleCrop>
  <LinksUpToDate>false</LinksUpToDate>
  <CharactersWithSpaces>688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2021-09-13T01:45:00Z</dcterms:created>
  <dc:creator>Administrator</dc:creator>
  <cp:lastModifiedBy>Administrator</cp:lastModifiedBy>
  <cp:lastPrinted>2020-09-17T07:47:00Z</cp:lastPrinted>
  <dcterms:modified xsi:type="dcterms:W3CDTF">2024-09-14T06:35:29Z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32350E720FDA4CAFB96E66C7C6CF6CCE</vt:lpwstr>
  </property>
</Properties>
</file>