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B399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</w:pP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附件：</w:t>
      </w:r>
    </w:p>
    <w:p w14:paraId="7B0E5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《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韶关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始兴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产业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园区控制性详细规划》</w:t>
      </w:r>
    </w:p>
    <w:p w14:paraId="453D7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内容摘要</w:t>
      </w:r>
    </w:p>
    <w:p w14:paraId="171B23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/>
        <w:textAlignment w:val="auto"/>
      </w:pPr>
    </w:p>
    <w:p w14:paraId="4AD4A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outlineLvl w:val="0"/>
        <w:rPr>
          <w:rFonts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一、规划范围</w:t>
      </w:r>
    </w:p>
    <w:p w14:paraId="08765E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规划范围涵盖了江口工业片区、东湖坪工业片区、黄花园工业片区、沙水工业片区及马市工业片区五大工业片区，总用地面积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689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公顷，其中城镇开发边界内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684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公顷。</w:t>
      </w:r>
    </w:p>
    <w:p w14:paraId="567058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outlineLvl w:val="0"/>
        <w:rPr>
          <w:rFonts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二、规划功能定位</w:t>
      </w:r>
    </w:p>
    <w:p w14:paraId="5F8974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+</w:t>
      </w:r>
      <w:r>
        <w:rPr>
          <w:rFonts w:hint="default" w:ascii="Times New Roman" w:hAnsi="Times New Roman" w:eastAsia="仿宋_GB2312" w:cs="Times New Roman"/>
          <w:sz w:val="32"/>
          <w:szCs w:val="32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产业集群基础，依托“一园五片区”总体布局，坚持产业创新，贯彻“制造业当家”精神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本次规划韶关始兴产业</w:t>
      </w:r>
      <w:r>
        <w:rPr>
          <w:rFonts w:hint="eastAsia" w:ascii="仿宋_GB2312" w:hAnsi="仿宋_GB2312" w:eastAsia="仿宋_GB2312" w:cs="仿宋_GB2312"/>
          <w:sz w:val="32"/>
          <w:szCs w:val="32"/>
        </w:rPr>
        <w:t>园区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功能定位为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 w14:paraId="5676EB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粤北多元制造园区·特色产业创新集群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粤北地区“专精特新”产业示范高地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6A43F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outlineLvl w:val="0"/>
        <w:rPr>
          <w:rFonts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  <w:t>三、底线控制与传导</w:t>
      </w:r>
    </w:p>
    <w:p w14:paraId="23A2D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衔接落实《始兴县国土空间总体规划（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2035</w:t>
      </w:r>
      <w:r>
        <w:rPr>
          <w:rFonts w:hint="eastAsia" w:ascii="仿宋_GB2312" w:hAnsi="仿宋_GB2312" w:eastAsia="仿宋_GB2312" w:cs="仿宋_GB2312"/>
          <w:sz w:val="32"/>
          <w:szCs w:val="32"/>
        </w:rPr>
        <w:t>年）》，规划区内划定城镇开发边界面积为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684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21</w:t>
      </w:r>
      <w:r>
        <w:rPr>
          <w:rFonts w:ascii="仿宋_GB2312" w:hAnsi="仿宋_GB2312" w:eastAsia="仿宋_GB2312" w:cs="仿宋_GB2312"/>
          <w:sz w:val="32"/>
          <w:szCs w:val="32"/>
        </w:rPr>
        <w:t>公顷，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不涉及永久基本农田、生态保护红线、蓝线、紫线和历史文化保护线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规划区内城市</w:t>
      </w:r>
      <w:r>
        <w:rPr>
          <w:rFonts w:hint="eastAsia" w:ascii="仿宋_GB2312" w:hAnsi="仿宋_GB2312" w:eastAsia="仿宋_GB2312" w:cs="仿宋_GB2312"/>
          <w:sz w:val="32"/>
          <w:szCs w:val="32"/>
        </w:rPr>
        <w:t>绿线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06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公顷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城市黄线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公顷，</w:t>
      </w:r>
      <w:r>
        <w:rPr>
          <w:rFonts w:hint="eastAsia" w:ascii="仿宋_GB2312" w:hAnsi="仿宋_GB2312" w:eastAsia="仿宋_GB2312" w:cs="仿宋_GB2312"/>
          <w:sz w:val="32"/>
          <w:szCs w:val="32"/>
        </w:rPr>
        <w:t>工业控制线范围面积为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676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59</w:t>
      </w:r>
      <w:r>
        <w:rPr>
          <w:rFonts w:ascii="仿宋_GB2312" w:hAnsi="仿宋_GB2312" w:eastAsia="仿宋_GB2312" w:cs="仿宋_GB2312"/>
          <w:sz w:val="32"/>
          <w:szCs w:val="32"/>
        </w:rPr>
        <w:t>公顷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6AC06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outlineLvl w:val="0"/>
        <w:rPr>
          <w:rFonts w:ascii="黑体" w:hAnsi="黑体" w:eastAsia="黑体" w:cs="黑体"/>
          <w:b w:val="0"/>
          <w:bCs w:val="0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highlight w:val="none"/>
        </w:rPr>
        <w:t>四、土地利用规划</w:t>
      </w:r>
    </w:p>
    <w:p w14:paraId="4C3766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规划区总用地面积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689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62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公顷，包括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居住用地、公共管理与公共服务用地、工矿用地、仓储用地、交通运输用地、公用设施用地、绿地与开敞空间和陆地水域。</w:t>
      </w:r>
    </w:p>
    <w:p w14:paraId="07B51F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（1）居住用地规划</w:t>
      </w:r>
    </w:p>
    <w:p w14:paraId="5FC20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居住用地规划总面积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85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公顷，占总用地的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56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32CF7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（2）公共管理与公共服务用地规划</w:t>
      </w:r>
    </w:p>
    <w:p w14:paraId="5891FA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公共管理与公共服务用地规划总面积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39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公顷，占总用地的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35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1F84BC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（3）工矿用地规划</w:t>
      </w:r>
    </w:p>
    <w:p w14:paraId="5C24D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工矿用地总面积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551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63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公顷，占总用地的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79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99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72BF5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（4）仓储用地规划</w:t>
      </w:r>
    </w:p>
    <w:p w14:paraId="4BF45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仓储用地总面积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49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公顷，占总用地的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94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072CD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（5）交通运输用地规划</w:t>
      </w:r>
    </w:p>
    <w:p w14:paraId="0FFE49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交通运输用地总面积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66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86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公顷，占总用地的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9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70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3CD51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（6）公用设施用地规划</w:t>
      </w:r>
    </w:p>
    <w:p w14:paraId="0D29E8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公用设施用地总面积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19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公顷，占总用地的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90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45FCF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（7）绿地与开场空间用地规划</w:t>
      </w:r>
    </w:p>
    <w:p w14:paraId="614497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绿地与开场空间用地总面积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48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70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公顷，占总用地的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06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239FF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（8）陆地水域用地规划</w:t>
      </w:r>
    </w:p>
    <w:p w14:paraId="5EBD4C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黑体" w:hAnsi="黑体" w:eastAsia="黑体" w:cs="仿宋_GB2312"/>
          <w:b/>
          <w:bCs/>
          <w:sz w:val="30"/>
          <w:szCs w:val="30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陆地水域用地总面积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3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51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公顷，占总用地的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51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%。</w:t>
      </w:r>
    </w:p>
    <w:p w14:paraId="0DB34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outlineLvl w:val="0"/>
        <w:rPr>
          <w:rFonts w:ascii="黑体" w:hAnsi="黑体" w:eastAsia="黑体" w:cs="黑体"/>
          <w:b w:val="0"/>
          <w:bCs w:val="0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highlight w:val="none"/>
        </w:rPr>
        <w:t>五、综合交通规划</w:t>
      </w:r>
    </w:p>
    <w:p w14:paraId="7B8AA6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城市主干道：道路红线宽度为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-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40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米，是片区与周边其他片区联系的快速通道。</w:t>
      </w:r>
    </w:p>
    <w:p w14:paraId="69BA7C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次干道：道路红线宽度控制为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-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31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米，是承担内部各功能分区之间的交通联系</w:t>
      </w:r>
    </w:p>
    <w:p w14:paraId="141E1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支路：道路红线宽度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-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米，是内部交通微循环系统。</w:t>
      </w:r>
    </w:p>
    <w:p w14:paraId="6FFA45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outlineLvl w:val="0"/>
        <w:rPr>
          <w:rFonts w:ascii="黑体" w:hAnsi="黑体" w:eastAsia="黑体" w:cs="黑体"/>
          <w:b w:val="0"/>
          <w:bCs w:val="0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highlight w:val="none"/>
        </w:rPr>
        <w:t>六、公共服务设施规划</w:t>
      </w:r>
    </w:p>
    <w:p w14:paraId="2B348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规划公共管理与公共服务用地共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39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公顷，其中：科研用地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9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公顷。</w:t>
      </w:r>
    </w:p>
    <w:p w14:paraId="28BFF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outlineLvl w:val="0"/>
        <w:rPr>
          <w:rFonts w:ascii="黑体" w:hAnsi="黑体" w:eastAsia="黑体" w:cs="黑体"/>
          <w:b w:val="0"/>
          <w:bCs w:val="0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highlight w:val="none"/>
        </w:rPr>
        <w:t>七、市政公用设施规划</w:t>
      </w:r>
    </w:p>
    <w:p w14:paraId="2161A6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（一）给水工程规划</w:t>
      </w:r>
    </w:p>
    <w:p w14:paraId="04AC67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根据园区用地规模，计算江口工业片区用水量为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万吨/天，东湖坪工业片区用水量为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38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万吨/天，黄花园工业片区用水量为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万吨/天，沙水工业片区用水量为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82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万吨/天，马市工业片区用水量为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71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万吨/天。</w:t>
      </w:r>
    </w:p>
    <w:p w14:paraId="716396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（二）雨水工程规划</w:t>
      </w:r>
    </w:p>
    <w:p w14:paraId="3FBAF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根据竖向规划，尽量采用重力流排放，依据地势分散就近排入水体或雨水箱涵，收纳水体主要为浈江、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墨江、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黄泥塘水库。管道根据自然地形及河道划分排水区域，园区内河道密集，可避免设置长距离雨水干管。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园区内地形北高南低，雨水管道沿道路敷设。</w:t>
      </w:r>
    </w:p>
    <w:p w14:paraId="22275FC5"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b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（三）污水工程规划</w:t>
      </w:r>
    </w:p>
    <w:p w14:paraId="7985E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污水量预测：江口工业片区污水量为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万吨/天，东湖坪工业片区污水量为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万吨/天，黄花园工业片区污水量为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万吨/天，沙水工业片区污水量为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63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万吨/天，马市工业片区污水量为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63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万吨/天。</w:t>
      </w:r>
    </w:p>
    <w:p w14:paraId="4945C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（四）电力工程规划</w:t>
      </w:r>
    </w:p>
    <w:p w14:paraId="4020B9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江口片区规划区预测电力负荷约为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53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万千瓦，用电由现状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220kV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墨江变电站提供。东湖坪片区预测电力负荷约为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32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万千瓦。用电由现状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220kV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墨江变电站和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110kV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和平变电站提供。黄花园片区预测电力负荷约为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47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万千瓦，用电由现状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110kV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赤土岭变电站和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110kV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和平变电站提供。沙水片区预测电力负荷约为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万千瓦。规划区内用电由现状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110kV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赤土岭变电站提供。马市片区预测电力负荷约为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万千瓦。现状电源来自规划区周边的现状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110kV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金叶变电站。</w:t>
      </w:r>
    </w:p>
    <w:p w14:paraId="65C30B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kern w:val="44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kern w:val="44"/>
          <w:sz w:val="32"/>
          <w:szCs w:val="32"/>
          <w:highlight w:val="none"/>
        </w:rPr>
        <w:t>（五）燃气工程规划</w:t>
      </w:r>
    </w:p>
    <w:p w14:paraId="3FF59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个工业园区预测天然气年用气量合计约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3081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48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万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Nm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³/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a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，均由始兴县天然气门站供应，天然气门站供气规模为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亿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Nm3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/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a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，规划范围内燃气管道均为中压燃气管道，管径为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De90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-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315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 w14:paraId="09168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/>
        <w:jc w:val="both"/>
        <w:textAlignment w:val="auto"/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 w:val="0"/>
          <w:bCs/>
          <w:sz w:val="32"/>
          <w:szCs w:val="32"/>
          <w:highlight w:val="none"/>
        </w:rPr>
        <w:t>（六）环卫工程规划</w:t>
      </w:r>
    </w:p>
    <w:p w14:paraId="084984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采用人均指标法预测园区生活垃圾生产量，人均垃圾生产量取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千克/人·日，预测园区生活垃圾产生总量约为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89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吨。</w:t>
      </w:r>
    </w:p>
    <w:p w14:paraId="1F748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居住区内的公厕附建在居住小区配套设施内。居住区外的公厕主要利用公园绿地建设。共规划新增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个公厕。</w:t>
      </w:r>
    </w:p>
    <w:p w14:paraId="16A8466F">
      <w:pPr>
        <w:ind w:firstLine="0" w:firstLineChars="0"/>
        <w:jc w:val="both"/>
      </w:pPr>
    </w:p>
    <w:p w14:paraId="1E871A6C">
      <w:pPr>
        <w:ind w:firstLine="0" w:firstLineChars="0"/>
        <w:jc w:val="both"/>
        <w:rPr>
          <w:rFonts w:hint="eastAsia" w:eastAsia="华文细黑"/>
          <w:lang w:eastAsia="zh-CN"/>
        </w:rPr>
      </w:pPr>
      <w:r>
        <w:drawing>
          <wp:inline distT="0" distB="0" distL="114300" distR="114300">
            <wp:extent cx="5937885" cy="4192905"/>
            <wp:effectExtent l="0" t="0" r="5715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39"/>
      <w:pgMar w:top="2098" w:right="1474" w:bottom="1984" w:left="1587" w:header="851" w:footer="992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仿宋_GB2312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E30354"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2154D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D67563"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0DAC39">
    <w:pPr>
      <w:ind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69F6EC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25A24"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ViZDI4N2RlNzJmODRiMTAwNDFjMjJiY2VkMmJmMzUifQ=="/>
  </w:docVars>
  <w:rsids>
    <w:rsidRoot w:val="008E2B1B"/>
    <w:rsid w:val="00003020"/>
    <w:rsid w:val="00060E27"/>
    <w:rsid w:val="000716B0"/>
    <w:rsid w:val="00083C16"/>
    <w:rsid w:val="00087AFA"/>
    <w:rsid w:val="000A0C2F"/>
    <w:rsid w:val="000D219B"/>
    <w:rsid w:val="00101AE6"/>
    <w:rsid w:val="00103091"/>
    <w:rsid w:val="0011261F"/>
    <w:rsid w:val="00123FC1"/>
    <w:rsid w:val="0012647A"/>
    <w:rsid w:val="001308BC"/>
    <w:rsid w:val="00133EE7"/>
    <w:rsid w:val="001418C1"/>
    <w:rsid w:val="00161D23"/>
    <w:rsid w:val="00171759"/>
    <w:rsid w:val="00171FFE"/>
    <w:rsid w:val="001B2E9F"/>
    <w:rsid w:val="001C63C6"/>
    <w:rsid w:val="002111F2"/>
    <w:rsid w:val="00211B9C"/>
    <w:rsid w:val="00216AA1"/>
    <w:rsid w:val="00224EAC"/>
    <w:rsid w:val="002343D9"/>
    <w:rsid w:val="002535E0"/>
    <w:rsid w:val="00254E72"/>
    <w:rsid w:val="002551A8"/>
    <w:rsid w:val="002B4EB6"/>
    <w:rsid w:val="002C3825"/>
    <w:rsid w:val="002C6D87"/>
    <w:rsid w:val="002D0ECC"/>
    <w:rsid w:val="002E1AEC"/>
    <w:rsid w:val="002E7E04"/>
    <w:rsid w:val="002F0213"/>
    <w:rsid w:val="002F385C"/>
    <w:rsid w:val="003008B3"/>
    <w:rsid w:val="00321DBD"/>
    <w:rsid w:val="003244BC"/>
    <w:rsid w:val="00330E18"/>
    <w:rsid w:val="0034229A"/>
    <w:rsid w:val="0035305E"/>
    <w:rsid w:val="00393A67"/>
    <w:rsid w:val="003957A9"/>
    <w:rsid w:val="003A2056"/>
    <w:rsid w:val="003B696D"/>
    <w:rsid w:val="003C11B8"/>
    <w:rsid w:val="003D1548"/>
    <w:rsid w:val="003D52F6"/>
    <w:rsid w:val="003E4F3E"/>
    <w:rsid w:val="003F3966"/>
    <w:rsid w:val="003F6E72"/>
    <w:rsid w:val="0041222B"/>
    <w:rsid w:val="004163E1"/>
    <w:rsid w:val="004175CE"/>
    <w:rsid w:val="00434A00"/>
    <w:rsid w:val="00446504"/>
    <w:rsid w:val="004470AC"/>
    <w:rsid w:val="00462520"/>
    <w:rsid w:val="00467FAD"/>
    <w:rsid w:val="004821CF"/>
    <w:rsid w:val="004964B2"/>
    <w:rsid w:val="004A28AE"/>
    <w:rsid w:val="004A7D9C"/>
    <w:rsid w:val="004B411C"/>
    <w:rsid w:val="004D0C47"/>
    <w:rsid w:val="004E2967"/>
    <w:rsid w:val="00520CBD"/>
    <w:rsid w:val="00522710"/>
    <w:rsid w:val="00524C1E"/>
    <w:rsid w:val="005430D9"/>
    <w:rsid w:val="0055254A"/>
    <w:rsid w:val="00584BFC"/>
    <w:rsid w:val="0058798B"/>
    <w:rsid w:val="005C5B74"/>
    <w:rsid w:val="005D571D"/>
    <w:rsid w:val="005F59F3"/>
    <w:rsid w:val="006020BF"/>
    <w:rsid w:val="006038BD"/>
    <w:rsid w:val="006048D1"/>
    <w:rsid w:val="00611F91"/>
    <w:rsid w:val="00617A24"/>
    <w:rsid w:val="006229B8"/>
    <w:rsid w:val="006251F7"/>
    <w:rsid w:val="006309EE"/>
    <w:rsid w:val="0067070E"/>
    <w:rsid w:val="00671FBB"/>
    <w:rsid w:val="006A3068"/>
    <w:rsid w:val="006B333D"/>
    <w:rsid w:val="006C5627"/>
    <w:rsid w:val="006C6CEB"/>
    <w:rsid w:val="006C7C18"/>
    <w:rsid w:val="006E19A4"/>
    <w:rsid w:val="006E1CB2"/>
    <w:rsid w:val="006E4B6A"/>
    <w:rsid w:val="006F0662"/>
    <w:rsid w:val="006F3D08"/>
    <w:rsid w:val="007118B3"/>
    <w:rsid w:val="00725A1C"/>
    <w:rsid w:val="00745EED"/>
    <w:rsid w:val="007566EF"/>
    <w:rsid w:val="00760ED7"/>
    <w:rsid w:val="007E5197"/>
    <w:rsid w:val="007F72E1"/>
    <w:rsid w:val="00803A1E"/>
    <w:rsid w:val="00830D8F"/>
    <w:rsid w:val="00833C02"/>
    <w:rsid w:val="00840D76"/>
    <w:rsid w:val="00853772"/>
    <w:rsid w:val="0086522D"/>
    <w:rsid w:val="0086775F"/>
    <w:rsid w:val="008736B8"/>
    <w:rsid w:val="008746DF"/>
    <w:rsid w:val="00884496"/>
    <w:rsid w:val="0088672F"/>
    <w:rsid w:val="008A710D"/>
    <w:rsid w:val="008B7845"/>
    <w:rsid w:val="008C1C8B"/>
    <w:rsid w:val="008C4323"/>
    <w:rsid w:val="008C5A55"/>
    <w:rsid w:val="008C7B83"/>
    <w:rsid w:val="008D21C7"/>
    <w:rsid w:val="008E2B1B"/>
    <w:rsid w:val="0090094C"/>
    <w:rsid w:val="00907C3F"/>
    <w:rsid w:val="00910AA6"/>
    <w:rsid w:val="00927C95"/>
    <w:rsid w:val="00931F7C"/>
    <w:rsid w:val="0094023C"/>
    <w:rsid w:val="00943339"/>
    <w:rsid w:val="00945671"/>
    <w:rsid w:val="0096463F"/>
    <w:rsid w:val="009728E5"/>
    <w:rsid w:val="00973097"/>
    <w:rsid w:val="00976ECC"/>
    <w:rsid w:val="00980703"/>
    <w:rsid w:val="009838E6"/>
    <w:rsid w:val="00984EBC"/>
    <w:rsid w:val="009B26F4"/>
    <w:rsid w:val="009C2ADD"/>
    <w:rsid w:val="009C6078"/>
    <w:rsid w:val="009D328B"/>
    <w:rsid w:val="00A252FF"/>
    <w:rsid w:val="00A26375"/>
    <w:rsid w:val="00A34423"/>
    <w:rsid w:val="00A42A1D"/>
    <w:rsid w:val="00A454A5"/>
    <w:rsid w:val="00A5681D"/>
    <w:rsid w:val="00A65FCB"/>
    <w:rsid w:val="00A71C2A"/>
    <w:rsid w:val="00A74F87"/>
    <w:rsid w:val="00A779D1"/>
    <w:rsid w:val="00A85FD8"/>
    <w:rsid w:val="00AA6CA0"/>
    <w:rsid w:val="00AA74E8"/>
    <w:rsid w:val="00AA7990"/>
    <w:rsid w:val="00AB6716"/>
    <w:rsid w:val="00AC385B"/>
    <w:rsid w:val="00AD0D4C"/>
    <w:rsid w:val="00AD1602"/>
    <w:rsid w:val="00AE1E73"/>
    <w:rsid w:val="00AE786B"/>
    <w:rsid w:val="00B024FB"/>
    <w:rsid w:val="00B32386"/>
    <w:rsid w:val="00B33DE8"/>
    <w:rsid w:val="00B659F1"/>
    <w:rsid w:val="00B726CF"/>
    <w:rsid w:val="00B94C29"/>
    <w:rsid w:val="00B968F9"/>
    <w:rsid w:val="00BA7AA8"/>
    <w:rsid w:val="00BB693C"/>
    <w:rsid w:val="00BC4E2D"/>
    <w:rsid w:val="00BD368A"/>
    <w:rsid w:val="00BD5231"/>
    <w:rsid w:val="00BE325B"/>
    <w:rsid w:val="00C06FCE"/>
    <w:rsid w:val="00C11229"/>
    <w:rsid w:val="00C202A3"/>
    <w:rsid w:val="00C402E1"/>
    <w:rsid w:val="00C446E4"/>
    <w:rsid w:val="00C51523"/>
    <w:rsid w:val="00C62910"/>
    <w:rsid w:val="00C772A4"/>
    <w:rsid w:val="00CA0580"/>
    <w:rsid w:val="00CA2BE1"/>
    <w:rsid w:val="00CA68E3"/>
    <w:rsid w:val="00CB24C1"/>
    <w:rsid w:val="00CC6E27"/>
    <w:rsid w:val="00CF0001"/>
    <w:rsid w:val="00D056A9"/>
    <w:rsid w:val="00D059E1"/>
    <w:rsid w:val="00D062EA"/>
    <w:rsid w:val="00D103DD"/>
    <w:rsid w:val="00D1781B"/>
    <w:rsid w:val="00D2313B"/>
    <w:rsid w:val="00D23558"/>
    <w:rsid w:val="00D3177A"/>
    <w:rsid w:val="00D32A23"/>
    <w:rsid w:val="00D346BE"/>
    <w:rsid w:val="00D52621"/>
    <w:rsid w:val="00D53F73"/>
    <w:rsid w:val="00D60469"/>
    <w:rsid w:val="00D627DF"/>
    <w:rsid w:val="00D74BDD"/>
    <w:rsid w:val="00D80C35"/>
    <w:rsid w:val="00D87139"/>
    <w:rsid w:val="00D87E10"/>
    <w:rsid w:val="00D96756"/>
    <w:rsid w:val="00D96C6A"/>
    <w:rsid w:val="00DA2B8E"/>
    <w:rsid w:val="00DB500A"/>
    <w:rsid w:val="00DE55D1"/>
    <w:rsid w:val="00DF63D0"/>
    <w:rsid w:val="00E00A5A"/>
    <w:rsid w:val="00E158CB"/>
    <w:rsid w:val="00E219C9"/>
    <w:rsid w:val="00E27E20"/>
    <w:rsid w:val="00E30A0C"/>
    <w:rsid w:val="00E36558"/>
    <w:rsid w:val="00E413E2"/>
    <w:rsid w:val="00E477D3"/>
    <w:rsid w:val="00E51F1E"/>
    <w:rsid w:val="00E54181"/>
    <w:rsid w:val="00E55511"/>
    <w:rsid w:val="00E702E4"/>
    <w:rsid w:val="00E7670C"/>
    <w:rsid w:val="00E800B7"/>
    <w:rsid w:val="00EB3AB8"/>
    <w:rsid w:val="00EC4310"/>
    <w:rsid w:val="00ED28E4"/>
    <w:rsid w:val="00ED2A56"/>
    <w:rsid w:val="00ED4FCC"/>
    <w:rsid w:val="00ED5FB0"/>
    <w:rsid w:val="00EE072D"/>
    <w:rsid w:val="00EF082D"/>
    <w:rsid w:val="00F0322A"/>
    <w:rsid w:val="00F3635B"/>
    <w:rsid w:val="00F71F25"/>
    <w:rsid w:val="00F87288"/>
    <w:rsid w:val="00F87C9C"/>
    <w:rsid w:val="00FB0499"/>
    <w:rsid w:val="00FB3274"/>
    <w:rsid w:val="00FB61B8"/>
    <w:rsid w:val="00FB72BA"/>
    <w:rsid w:val="00FD454F"/>
    <w:rsid w:val="030E3461"/>
    <w:rsid w:val="0443792C"/>
    <w:rsid w:val="09613D3D"/>
    <w:rsid w:val="0B534BE9"/>
    <w:rsid w:val="0DFF319D"/>
    <w:rsid w:val="12D623E9"/>
    <w:rsid w:val="130A454F"/>
    <w:rsid w:val="16716B2A"/>
    <w:rsid w:val="179314B4"/>
    <w:rsid w:val="1CD640C2"/>
    <w:rsid w:val="1E2802AF"/>
    <w:rsid w:val="221C4592"/>
    <w:rsid w:val="225E3CAF"/>
    <w:rsid w:val="244506EA"/>
    <w:rsid w:val="2DE5446C"/>
    <w:rsid w:val="31BA0EA5"/>
    <w:rsid w:val="335C5A1D"/>
    <w:rsid w:val="37B744E6"/>
    <w:rsid w:val="386A56AF"/>
    <w:rsid w:val="40BC6C87"/>
    <w:rsid w:val="430E37B9"/>
    <w:rsid w:val="46B328B5"/>
    <w:rsid w:val="48A13995"/>
    <w:rsid w:val="4A8F1EA9"/>
    <w:rsid w:val="4CDF391E"/>
    <w:rsid w:val="4F3578E2"/>
    <w:rsid w:val="55C90353"/>
    <w:rsid w:val="58934944"/>
    <w:rsid w:val="5C263E51"/>
    <w:rsid w:val="5D8164A3"/>
    <w:rsid w:val="5F7E1DE5"/>
    <w:rsid w:val="630006A9"/>
    <w:rsid w:val="63D55065"/>
    <w:rsid w:val="64583242"/>
    <w:rsid w:val="69B559B7"/>
    <w:rsid w:val="69E23CB8"/>
    <w:rsid w:val="6B1A2DC4"/>
    <w:rsid w:val="6CE801F9"/>
    <w:rsid w:val="6EEC2F38"/>
    <w:rsid w:val="703A1840"/>
    <w:rsid w:val="74725760"/>
    <w:rsid w:val="7CA76A30"/>
    <w:rsid w:val="EAFE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eastAsia="华文细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14"/>
    <w:qFormat/>
    <w:uiPriority w:val="9"/>
    <w:pPr>
      <w:keepNext/>
      <w:keepLines/>
      <w:spacing w:afterLines="20"/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15"/>
    <w:unhideWhenUsed/>
    <w:qFormat/>
    <w:uiPriority w:val="9"/>
    <w:pPr>
      <w:keepNext/>
      <w:keepLines/>
      <w:spacing w:afterLines="20"/>
      <w:ind w:firstLine="0" w:firstLineChars="0"/>
      <w:outlineLvl w:val="1"/>
    </w:pPr>
    <w:rPr>
      <w:rFonts w:cstheme="majorBidi"/>
      <w:b/>
      <w:bCs/>
      <w:sz w:val="36"/>
      <w:szCs w:val="36"/>
    </w:rPr>
  </w:style>
  <w:style w:type="paragraph" w:styleId="2">
    <w:name w:val="heading 3"/>
    <w:basedOn w:val="1"/>
    <w:next w:val="1"/>
    <w:link w:val="16"/>
    <w:unhideWhenUsed/>
    <w:qFormat/>
    <w:uiPriority w:val="9"/>
    <w:pPr>
      <w:keepNext/>
      <w:keepLines/>
      <w:spacing w:afterLines="20"/>
      <w:ind w:firstLine="0" w:firstLineChars="0"/>
      <w:outlineLvl w:val="2"/>
    </w:pPr>
    <w:rPr>
      <w:b/>
      <w:bCs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6"/>
    <w:qFormat/>
    <w:uiPriority w:val="99"/>
    <w:rPr>
      <w:sz w:val="18"/>
      <w:szCs w:val="18"/>
    </w:rPr>
  </w:style>
  <w:style w:type="paragraph" w:styleId="13">
    <w:name w:val="No Spacing"/>
    <w:qFormat/>
    <w:uiPriority w:val="1"/>
    <w:pPr>
      <w:widowControl w:val="0"/>
      <w:jc w:val="center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customStyle="1" w:styleId="14">
    <w:name w:val="标题 1 Char"/>
    <w:basedOn w:val="10"/>
    <w:link w:val="3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10"/>
    <w:link w:val="4"/>
    <w:qFormat/>
    <w:uiPriority w:val="9"/>
    <w:rPr>
      <w:rFonts w:cstheme="majorBidi"/>
      <w:b/>
      <w:bCs/>
      <w:sz w:val="36"/>
      <w:szCs w:val="36"/>
    </w:rPr>
  </w:style>
  <w:style w:type="character" w:customStyle="1" w:styleId="16">
    <w:name w:val="标题 3 Char"/>
    <w:basedOn w:val="10"/>
    <w:link w:val="2"/>
    <w:qFormat/>
    <w:uiPriority w:val="9"/>
    <w:rPr>
      <w:b/>
      <w:bCs/>
      <w:sz w:val="30"/>
      <w:szCs w:val="30"/>
    </w:rPr>
  </w:style>
  <w:style w:type="paragraph" w:styleId="17">
    <w:name w:val="List Paragraph"/>
    <w:basedOn w:val="1"/>
    <w:qFormat/>
    <w:uiPriority w:val="34"/>
    <w:pPr>
      <w:ind w:firstLine="420"/>
    </w:pPr>
  </w:style>
  <w:style w:type="paragraph" w:customStyle="1" w:styleId="18">
    <w:name w:val="图表名"/>
    <w:basedOn w:val="1"/>
    <w:link w:val="19"/>
    <w:qFormat/>
    <w:uiPriority w:val="0"/>
    <w:pPr>
      <w:snapToGrid w:val="0"/>
      <w:spacing w:line="276" w:lineRule="auto"/>
      <w:ind w:firstLine="0" w:firstLineChars="0"/>
    </w:pPr>
    <w:rPr>
      <w:rFonts w:ascii="华文细黑" w:hAnsi="华文细黑" w:cs="Arial"/>
      <w:kern w:val="28"/>
      <w:sz w:val="21"/>
      <w:szCs w:val="21"/>
    </w:rPr>
  </w:style>
  <w:style w:type="character" w:customStyle="1" w:styleId="19">
    <w:name w:val="图表名 字符"/>
    <w:basedOn w:val="10"/>
    <w:link w:val="18"/>
    <w:qFormat/>
    <w:uiPriority w:val="0"/>
    <w:rPr>
      <w:rFonts w:ascii="华文细黑" w:hAnsi="华文细黑" w:eastAsia="华文细黑" w:cs="Arial"/>
      <w:kern w:val="28"/>
      <w:szCs w:val="21"/>
    </w:rPr>
  </w:style>
  <w:style w:type="character" w:customStyle="1" w:styleId="20">
    <w:name w:val="批注框文本 Char"/>
    <w:basedOn w:val="10"/>
    <w:link w:val="5"/>
    <w:semiHidden/>
    <w:qFormat/>
    <w:uiPriority w:val="99"/>
    <w:rPr>
      <w:sz w:val="18"/>
      <w:szCs w:val="18"/>
    </w:rPr>
  </w:style>
  <w:style w:type="paragraph" w:customStyle="1" w:styleId="21">
    <w:name w:val="05正文"/>
    <w:basedOn w:val="1"/>
    <w:qFormat/>
    <w:uiPriority w:val="0"/>
    <w:pPr>
      <w:ind w:firstLine="480"/>
    </w:pPr>
    <w:rPr>
      <w:rFonts w:ascii="宋体" w:hAnsi="宋体"/>
      <w:color w:val="000000"/>
      <w:szCs w:val="21"/>
    </w:rPr>
  </w:style>
  <w:style w:type="paragraph" w:customStyle="1" w:styleId="22">
    <w:name w:val="00正文"/>
    <w:link w:val="23"/>
    <w:qFormat/>
    <w:uiPriority w:val="0"/>
    <w:pPr>
      <w:spacing w:line="360" w:lineRule="auto"/>
      <w:ind w:firstLine="200" w:firstLineChars="200"/>
    </w:pPr>
    <w:rPr>
      <w:rFonts w:ascii="Calibri" w:hAnsi="Calibri" w:eastAsia="宋体" w:cs="Times New Roman"/>
      <w:bCs/>
      <w:kern w:val="44"/>
      <w:sz w:val="24"/>
      <w:szCs w:val="44"/>
      <w:lang w:val="en-US" w:eastAsia="zh-CN" w:bidi="ar-SA"/>
    </w:rPr>
  </w:style>
  <w:style w:type="character" w:customStyle="1" w:styleId="23">
    <w:name w:val="00正文 Char"/>
    <w:link w:val="22"/>
    <w:qFormat/>
    <w:uiPriority w:val="0"/>
    <w:rPr>
      <w:rFonts w:ascii="Calibri" w:hAnsi="Calibri" w:eastAsia="宋体" w:cs="Times New Roman"/>
      <w:bCs/>
      <w:kern w:val="44"/>
      <w:sz w:val="24"/>
      <w:szCs w:val="44"/>
    </w:rPr>
  </w:style>
  <w:style w:type="paragraph" w:customStyle="1" w:styleId="24">
    <w:name w:val="正文 New New New New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25">
    <w:name w:val="正文 New New New New New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26">
    <w:name w:val="正文 New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27">
    <w:name w:val="00正文 New New New New"/>
    <w:qFormat/>
    <w:uiPriority w:val="0"/>
    <w:pPr>
      <w:spacing w:line="360" w:lineRule="auto"/>
      <w:ind w:firstLine="200" w:firstLineChars="200"/>
    </w:pPr>
    <w:rPr>
      <w:rFonts w:ascii="Calibri" w:hAnsi="Calibri" w:eastAsia="宋体" w:cs="Times New Roman"/>
      <w:bCs/>
      <w:kern w:val="44"/>
      <w:sz w:val="24"/>
      <w:szCs w:val="44"/>
      <w:lang w:val="en-US" w:eastAsia="zh-CN" w:bidi="ar-SA"/>
    </w:rPr>
  </w:style>
  <w:style w:type="paragraph" w:customStyle="1" w:styleId="28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9">
    <w:name w:val="正文 New New New New New New New New New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30">
    <w:name w:val="正文 New New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31">
    <w:name w:val="正文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customStyle="1" w:styleId="32">
    <w:name w:val="00正文 New New New New New New"/>
    <w:qFormat/>
    <w:uiPriority w:val="0"/>
    <w:pPr>
      <w:spacing w:line="360" w:lineRule="auto"/>
      <w:ind w:firstLine="200" w:firstLineChars="200"/>
    </w:pPr>
    <w:rPr>
      <w:rFonts w:ascii="Calibri" w:hAnsi="Calibri" w:eastAsia="宋体" w:cs="Times New Roman"/>
      <w:bCs/>
      <w:kern w:val="44"/>
      <w:sz w:val="24"/>
      <w:szCs w:val="44"/>
      <w:lang w:val="en-US" w:eastAsia="zh-CN" w:bidi="ar-SA"/>
    </w:rPr>
  </w:style>
  <w:style w:type="character" w:customStyle="1" w:styleId="33">
    <w:name w:val="段落 字符"/>
    <w:link w:val="34"/>
    <w:qFormat/>
    <w:uiPriority w:val="0"/>
    <w:rPr>
      <w:rFonts w:ascii="华文细黑" w:hAnsi="华文细黑" w:eastAsia="华文细黑" w:cs="Arial"/>
      <w:kern w:val="28"/>
      <w:sz w:val="24"/>
      <w:szCs w:val="21"/>
      <w:lang w:val="zh-Hans"/>
    </w:rPr>
  </w:style>
  <w:style w:type="paragraph" w:customStyle="1" w:styleId="34">
    <w:name w:val="段落"/>
    <w:basedOn w:val="1"/>
    <w:link w:val="33"/>
    <w:qFormat/>
    <w:uiPriority w:val="0"/>
    <w:pPr>
      <w:snapToGrid w:val="0"/>
      <w:spacing w:line="336" w:lineRule="auto"/>
      <w:jc w:val="both"/>
    </w:pPr>
    <w:rPr>
      <w:rFonts w:ascii="华文细黑" w:hAnsi="华文细黑" w:cs="Arial"/>
      <w:kern w:val="28"/>
      <w:szCs w:val="21"/>
      <w:lang w:val="zh-Hans"/>
    </w:rPr>
  </w:style>
  <w:style w:type="character" w:customStyle="1" w:styleId="35">
    <w:name w:val="01表格式 字符"/>
    <w:link w:val="36"/>
    <w:qFormat/>
    <w:uiPriority w:val="0"/>
    <w:rPr>
      <w:rFonts w:eastAsia="华文细黑"/>
      <w:kern w:val="2"/>
      <w:sz w:val="21"/>
    </w:rPr>
  </w:style>
  <w:style w:type="paragraph" w:customStyle="1" w:styleId="36">
    <w:name w:val="01表格式"/>
    <w:basedOn w:val="1"/>
    <w:link w:val="35"/>
    <w:qFormat/>
    <w:uiPriority w:val="0"/>
    <w:pPr>
      <w:wordWrap w:val="0"/>
      <w:topLinePunct/>
      <w:adjustRightInd w:val="0"/>
      <w:snapToGrid w:val="0"/>
      <w:spacing w:line="240" w:lineRule="auto"/>
      <w:ind w:firstLine="0" w:firstLineChars="0"/>
      <w:jc w:val="center"/>
    </w:pPr>
    <w:rPr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b:Sources xmlns:b="http://schemas.openxmlformats.org/officeDocument/2006/bibliography" SelectedStyle="\APASixthEditionOfficeOnline.xsl" Version="6" xmlns:b="http://schemas.openxmlformats.org/officeDocument/2006/bibliography" StyleName="APA"/>

</file>

<file path=customXml/itemProps1.xml><?xml version="1.0" encoding="utf-8"?>
<ds:datastoreItem xmlns:ds="http://schemas.openxmlformats.org/officeDocument/2006/customXml" ds:itemID="{30699FB0-29CE-47C9-A6E1-5E113D1046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2219</Words>
  <Characters>2719</Characters>
  <Lines>20</Lines>
  <Paragraphs>5</Paragraphs>
  <TotalTime>3</TotalTime>
  <ScaleCrop>false</ScaleCrop>
  <LinksUpToDate>false</LinksUpToDate>
  <CharactersWithSpaces>2752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2024-06-28T16:07:00Z</dcterms:created>
  <dc:creator>规划院</dc:creator>
  <cp:lastModifiedBy>虾</cp:lastModifiedBy>
  <cp:lastPrinted>2021-01-21T15:30:00Z</cp:lastPrinted>
  <dcterms:modified xsi:type="dcterms:W3CDTF">2025-07-30T10:48:43Z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ribbonExt">
    <vt:lpwstr>{"WPSExtOfficeTab":{"OnGetEnabled":false,"OnGetVisible":false}}</vt:lpwstr>
  </property>
  <property fmtid="{D5CDD505-2E9C-101B-9397-08002B2CF9AE}" pid="4" name="ICV">
    <vt:lpwstr>98AA3F1F366145D9ADAB2144ABEB69B0</vt:lpwstr>
  </property>
</Properties>
</file>