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DC8F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始兴县2025年农村集中式饮用水水源保护区划定（调整）技术报告（征求意见稿）</w:t>
      </w:r>
    </w:p>
    <w:p w14:paraId="5DA29C5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解读说明</w:t>
      </w:r>
      <w:bookmarkStart w:id="0" w:name="_GoBack"/>
      <w:bookmarkEnd w:id="0"/>
    </w:p>
    <w:p w14:paraId="7D4FE5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03EF694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为全面贯彻落实国家、省、市关于饮用水水源保护的相关要求，切实保障全县农村群众饮水安全，始兴县人民政府制定《始兴县2025年农村集中式饮用水水源保护区划定（调整）技术报告（征求意见稿）》（以下简称《技术报告》）。现将政策背景、目标任务、主要内容等情况全方位解读如下。</w:t>
      </w:r>
    </w:p>
    <w:p w14:paraId="0126409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lang w:val="en-US" w:eastAsia="zh-CN"/>
        </w:rPr>
      </w:pPr>
      <w:r>
        <w:rPr>
          <w:rFonts w:hint="eastAsia" w:ascii="黑体" w:hAnsi="黑体" w:eastAsia="黑体" w:cs="黑体"/>
          <w:lang w:val="en-US" w:eastAsia="zh-CN"/>
        </w:rPr>
        <w:t>一、政策制定背景</w:t>
      </w:r>
    </w:p>
    <w:p w14:paraId="2359FF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（一）上级政策刚性要求</w:t>
      </w:r>
    </w:p>
    <w:p w14:paraId="2CC1D8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党中央、国务院高度重视饮用水安全工作。国务院2005年印发的《关于落实科学发展观加强环境保护的决定》（国发〔2005〕39号）中提出“以饮水安全和重点流域治理为重点，加强水污染防治。要科学划定和调整饮用水水源保护区，切实加强饮用水水源保护，建设好城市备用水源，解决好农村饮水安全问题。坚决取缔水源保护区内的直接排污口，严防养殖业污染水源，禁止有毒有害物质进入饮用水水源保护区，强化水污染事故的预防和应急处理，确保群众饮水安全”。</w:t>
      </w:r>
    </w:p>
    <w:p w14:paraId="209595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广东省水污染防治条例》规定“县级以上人民政府应当合理安排、布局农村饮用水水源，加强农村饮用水水源的保护和治理，做好水质检测和卫生防护等工作，有条件的地区可以采取城镇供水管网延伸或者建设跨村、跨乡镇联片集中供水工程等方式，发展规模集中供水，推动形成城乡一体化的饮用水水源保护机制。新建、改建、扩建的农村集中供水工程，应当同步开展饮用水水源保护区的划定工作”。</w:t>
      </w:r>
    </w:p>
    <w:p w14:paraId="5FEE19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（二）县域实际发展需求</w:t>
      </w:r>
    </w:p>
    <w:p w14:paraId="45D039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为全面贯彻落实《广东省人民政府关于将乡镇及以下集中式饮用水水源保护区划定方案批复权限委托地级以上市行使的决定》（粤府</w:t>
      </w:r>
      <w:r>
        <w:rPr>
          <w:rFonts w:hint="eastAsia" w:ascii="仿宋_GB2312" w:hAnsi="仿宋_GB2312" w:eastAsia="仿宋_GB2312" w:cs="仿宋_GB2312"/>
          <w:lang w:val="en-US" w:eastAsia="zh-CN"/>
        </w:rPr>
        <w:t>〔</w:t>
      </w:r>
      <w:r>
        <w:rPr>
          <w:rFonts w:hint="eastAsia"/>
          <w:lang w:val="en-US" w:eastAsia="zh-CN"/>
        </w:rPr>
        <w:t>2020</w:t>
      </w:r>
      <w:r>
        <w:rPr>
          <w:rFonts w:hint="eastAsia" w:ascii="仿宋_GB2312" w:hAnsi="仿宋_GB2312" w:eastAsia="仿宋_GB2312" w:cs="仿宋_GB2312"/>
          <w:lang w:val="en-US" w:eastAsia="zh-CN"/>
        </w:rPr>
        <w:t>〕</w:t>
      </w:r>
      <w:r>
        <w:rPr>
          <w:rFonts w:hint="eastAsia"/>
          <w:lang w:val="en-US" w:eastAsia="zh-CN"/>
        </w:rPr>
        <w:t>62号）和《广东省生态环境厅 广东省水利厅关于加强农村饮用水源地环境管理工作的通知》（粤环函</w:t>
      </w:r>
      <w:r>
        <w:rPr>
          <w:rFonts w:hint="eastAsia" w:ascii="仿宋_GB2312" w:hAnsi="仿宋_GB2312" w:eastAsia="仿宋_GB2312" w:cs="仿宋_GB2312"/>
          <w:lang w:val="en-US" w:eastAsia="zh-CN"/>
        </w:rPr>
        <w:t>〔</w:t>
      </w:r>
      <w:r>
        <w:rPr>
          <w:rFonts w:hint="eastAsia"/>
          <w:lang w:val="en-US" w:eastAsia="zh-CN"/>
        </w:rPr>
        <w:t>2021</w:t>
      </w:r>
      <w:r>
        <w:rPr>
          <w:rFonts w:hint="eastAsia" w:ascii="仿宋_GB2312" w:hAnsi="仿宋_GB2312" w:eastAsia="仿宋_GB2312" w:cs="仿宋_GB2312"/>
          <w:lang w:val="en-US" w:eastAsia="zh-CN"/>
        </w:rPr>
        <w:t>〕</w:t>
      </w:r>
      <w:r>
        <w:rPr>
          <w:rFonts w:hint="eastAsia"/>
          <w:lang w:val="en-US" w:eastAsia="zh-CN"/>
        </w:rPr>
        <w:t>514号）要求，始兴县人民政府高度重视饮用水水源地的保护工作，结合本县集中供水格局和水源保护区范围不匹配的实际情况提出《始兴县2025年农村集中式饮用水水源保护区划定（调整）技术报告（征求意见稿）》，持续加强饮用水水源保护工作，切实保障饮用水水源水质安全。</w:t>
      </w:r>
    </w:p>
    <w:p w14:paraId="24DCE4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kern w:val="2"/>
          <w:sz w:val="32"/>
          <w:szCs w:val="24"/>
          <w:lang w:val="en-US" w:eastAsia="zh-CN" w:bidi="ar-SA"/>
        </w:rPr>
        <w:t>二、</w:t>
      </w:r>
      <w:r>
        <w:rPr>
          <w:rFonts w:hint="eastAsia" w:ascii="黑体" w:hAnsi="黑体" w:eastAsia="黑体" w:cs="黑体"/>
          <w:lang w:val="en-US" w:eastAsia="zh-CN"/>
        </w:rPr>
        <w:t>制定《技术报告》的目标任务</w:t>
      </w:r>
    </w:p>
    <w:p w14:paraId="044CE0F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default"/>
          <w:lang w:val="en-US" w:eastAsia="zh-CN"/>
        </w:rPr>
        <w:t>《</w:t>
      </w:r>
      <w:r>
        <w:rPr>
          <w:rFonts w:hint="eastAsia"/>
          <w:lang w:val="en-US" w:eastAsia="zh-CN"/>
        </w:rPr>
        <w:t>技术报告</w:t>
      </w:r>
      <w:r>
        <w:rPr>
          <w:rFonts w:hint="default"/>
          <w:lang w:val="en-US" w:eastAsia="zh-CN"/>
        </w:rPr>
        <w:t>》的</w:t>
      </w:r>
      <w:r>
        <w:rPr>
          <w:rFonts w:hint="eastAsia"/>
          <w:lang w:val="en-US" w:eastAsia="zh-CN"/>
        </w:rPr>
        <w:t>制定</w:t>
      </w:r>
      <w:r>
        <w:rPr>
          <w:rFonts w:hint="default"/>
          <w:lang w:val="en-US" w:eastAsia="zh-CN"/>
        </w:rPr>
        <w:t>有利于进一步统筹全县集中式饮用水水源地管理。</w:t>
      </w:r>
      <w:r>
        <w:rPr>
          <w:rFonts w:hint="default"/>
          <w:b/>
          <w:bCs/>
          <w:lang w:val="en-US" w:eastAsia="zh-CN"/>
        </w:rPr>
        <w:t>一是</w:t>
      </w:r>
      <w:r>
        <w:rPr>
          <w:rFonts w:hint="default"/>
          <w:lang w:val="en-US" w:eastAsia="zh-CN"/>
        </w:rPr>
        <w:t>明确管理边界，通过精准划定保护区范围，解决以往部分水源地保护责任不清、管控无序的问题。</w:t>
      </w:r>
      <w:r>
        <w:rPr>
          <w:rFonts w:hint="default"/>
          <w:b/>
          <w:bCs/>
          <w:lang w:val="en-US" w:eastAsia="zh-CN"/>
        </w:rPr>
        <w:t>二是</w:t>
      </w:r>
      <w:r>
        <w:rPr>
          <w:rFonts w:hint="default"/>
          <w:lang w:val="en-US" w:eastAsia="zh-CN"/>
        </w:rPr>
        <w:t>保障饮水安全，为农村群众饮用优质、安全的饮用水提供制度保障。</w:t>
      </w:r>
      <w:r>
        <w:rPr>
          <w:rFonts w:hint="default"/>
          <w:b/>
          <w:bCs/>
          <w:lang w:val="en-US" w:eastAsia="zh-CN"/>
        </w:rPr>
        <w:t>三是</w:t>
      </w:r>
      <w:r>
        <w:rPr>
          <w:rFonts w:hint="default"/>
          <w:lang w:val="en-US" w:eastAsia="zh-CN"/>
        </w:rPr>
        <w:t>助力县域发展，为始兴县城乡融合发展、社会经济持续健康发展提供坚实基础保障。</w:t>
      </w:r>
    </w:p>
    <w:p w14:paraId="5A2AC9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黑体" w:hAnsi="黑体" w:eastAsia="黑体" w:cs="黑体"/>
          <w:kern w:val="2"/>
          <w:sz w:val="32"/>
          <w:szCs w:val="24"/>
          <w:lang w:val="en-US" w:eastAsia="zh-CN" w:bidi="ar-SA"/>
        </w:rPr>
        <w:t>三、</w:t>
      </w:r>
      <w:r>
        <w:rPr>
          <w:rFonts w:hint="eastAsia" w:ascii="黑体" w:hAnsi="黑体" w:eastAsia="黑体" w:cs="黑体"/>
          <w:lang w:val="en-US" w:eastAsia="zh-CN"/>
        </w:rPr>
        <w:t>制定《技术报告》的技术路线</w:t>
      </w:r>
    </w:p>
    <w:p w14:paraId="774B2C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lang w:val="en-US" w:eastAsia="zh-CN"/>
        </w:rPr>
      </w:pPr>
      <w:r>
        <w:rPr>
          <w:rFonts w:hint="eastAsia"/>
          <w:b/>
          <w:bCs/>
          <w:lang w:val="en-US" w:eastAsia="zh-CN"/>
        </w:rPr>
        <w:t>一是</w:t>
      </w:r>
      <w:r>
        <w:rPr>
          <w:rFonts w:hint="eastAsia"/>
          <w:lang w:val="en-US" w:eastAsia="zh-CN"/>
        </w:rPr>
        <w:t>综合调查。对划分（调整）的水源保护区的划分现状、自然环境、社会环境、污染源、水质现状、风险隐患、土地利用现状及相关规划进行调查。</w:t>
      </w:r>
      <w:r>
        <w:rPr>
          <w:rFonts w:hint="eastAsia"/>
          <w:b/>
          <w:bCs/>
          <w:lang w:val="en-US" w:eastAsia="zh-CN"/>
        </w:rPr>
        <w:t>二是</w:t>
      </w:r>
      <w:r>
        <w:rPr>
          <w:rFonts w:hint="eastAsia"/>
          <w:lang w:val="en-US" w:eastAsia="zh-CN"/>
        </w:rPr>
        <w:t>必要性分析。根据综合调查结果，总结现有水源保护区中存在的问题，分析其在规划水平年的水质、水量状况及发展趋势，以及与各种规划和政策法规的协调性，对划分（调整）的必要性论证。</w:t>
      </w:r>
      <w:r>
        <w:rPr>
          <w:rFonts w:hint="eastAsia"/>
          <w:b/>
          <w:bCs/>
          <w:lang w:val="en-US" w:eastAsia="zh-CN"/>
        </w:rPr>
        <w:t>三是</w:t>
      </w:r>
      <w:r>
        <w:rPr>
          <w:rFonts w:hint="eastAsia"/>
          <w:lang w:val="en-US" w:eastAsia="zh-CN"/>
        </w:rPr>
        <w:t>《技术报告》分析和边界确定。在规范文件的指导下，对各相关因素进行分析，初步制定《技术报告》。根据具体的地形、地貌条件、汇水条件，结合土地利用现状和区域交通现状，结合边界确定原则，优化划分定界方案。</w:t>
      </w:r>
      <w:r>
        <w:rPr>
          <w:rFonts w:hint="eastAsia"/>
          <w:b/>
          <w:bCs/>
          <w:lang w:val="en-US" w:eastAsia="zh-CN"/>
        </w:rPr>
        <w:t>四是</w:t>
      </w:r>
      <w:r>
        <w:rPr>
          <w:rFonts w:hint="eastAsia"/>
          <w:lang w:val="en-US" w:eastAsia="zh-CN"/>
        </w:rPr>
        <w:t>论证《技术报告》可行性。从思路可行性、协调性分析、影响分析等多角度，采用定性、定量相结合的方法对划分（调整）方案的可行性进行论证，得到可行的符合管理要求的方案，</w:t>
      </w:r>
      <w:r>
        <w:rPr>
          <w:rFonts w:hint="eastAsia"/>
          <w:b/>
          <w:bCs/>
          <w:lang w:val="en-US" w:eastAsia="zh-CN"/>
        </w:rPr>
        <w:t>五是</w:t>
      </w:r>
      <w:r>
        <w:rPr>
          <w:rFonts w:hint="eastAsia"/>
          <w:lang w:val="en-US" w:eastAsia="zh-CN"/>
        </w:rPr>
        <w:t>饮用水源规范化建设与管理要求。《技术报告》确定后，分析水源地突出问题，提出规范化措施、提出水源水质监测要求和保护管理要求。</w:t>
      </w:r>
    </w:p>
    <w:p w14:paraId="46FC6F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kern w:val="2"/>
          <w:sz w:val="32"/>
          <w:szCs w:val="24"/>
          <w:lang w:val="en-US" w:eastAsia="zh-CN" w:bidi="ar-SA"/>
        </w:rPr>
        <w:t>四、</w:t>
      </w:r>
      <w:r>
        <w:rPr>
          <w:rFonts w:hint="eastAsia" w:ascii="黑体" w:hAnsi="黑体" w:eastAsia="黑体" w:cs="黑体"/>
          <w:lang w:val="en-US" w:eastAsia="zh-CN"/>
        </w:rPr>
        <w:t>《技术报告》的主要内容</w:t>
      </w:r>
    </w:p>
    <w:p w14:paraId="13EE58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《技术报告》分为八部分。</w:t>
      </w:r>
    </w:p>
    <w:p w14:paraId="7F88E29A">
      <w:pPr>
        <w:widowControl/>
        <w:shd w:val="clear" w:color="auto" w:fill="FFFFFF"/>
        <w:spacing w:line="360" w:lineRule="auto"/>
        <w:ind w:firstLine="640"/>
        <w:jc w:val="left"/>
        <w:rPr>
          <w:rFonts w:ascii="仿宋_GB2312" w:hAnsi="微软雅黑" w:eastAsia="仿宋_GB2312" w:cs="宋体"/>
          <w:color w:val="000000"/>
          <w:kern w:val="0"/>
          <w:sz w:val="32"/>
          <w:szCs w:val="32"/>
        </w:rPr>
      </w:pPr>
      <w:r>
        <w:rPr>
          <w:rFonts w:hint="eastAsia" w:ascii="仿宋_GB2312" w:hAnsi="仿宋_GB2312" w:eastAsia="仿宋_GB2312" w:cs="仿宋_GB2312"/>
          <w:b/>
          <w:bCs/>
          <w:sz w:val="32"/>
          <w:szCs w:val="32"/>
        </w:rPr>
        <w:t>第一部分“</w:t>
      </w:r>
      <w:r>
        <w:rPr>
          <w:rFonts w:hint="eastAsia" w:ascii="仿宋_GB2312" w:hAnsi="微软雅黑" w:eastAsia="仿宋_GB2312" w:cs="宋体"/>
          <w:b/>
          <w:bCs/>
          <w:color w:val="000000"/>
          <w:kern w:val="0"/>
          <w:sz w:val="32"/>
          <w:szCs w:val="32"/>
          <w:lang w:val="en-US" w:eastAsia="zh-CN"/>
        </w:rPr>
        <w:t>总则</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主要提出了《技术报告》的划分（调整）目的、划分（调整）依据、划分（调整）原则及保护区划分（调整）的技术路线。</w:t>
      </w:r>
    </w:p>
    <w:p w14:paraId="1F089C33">
      <w:pPr>
        <w:widowControl/>
        <w:shd w:val="clear" w:color="auto" w:fill="FFFFFF"/>
        <w:spacing w:line="360" w:lineRule="auto"/>
        <w:ind w:firstLine="640"/>
        <w:jc w:val="left"/>
        <w:rPr>
          <w:rFonts w:ascii="仿宋_GB2312" w:hAnsi="微软雅黑" w:eastAsia="仿宋_GB2312" w:cs="宋体"/>
          <w:color w:val="000000"/>
          <w:kern w:val="0"/>
          <w:sz w:val="32"/>
          <w:szCs w:val="32"/>
        </w:rPr>
      </w:pPr>
      <w:r>
        <w:rPr>
          <w:rFonts w:hint="eastAsia" w:ascii="仿宋_GB2312" w:hAnsi="微软雅黑" w:eastAsia="仿宋_GB2312" w:cs="宋体"/>
          <w:b/>
          <w:bCs/>
          <w:color w:val="000000"/>
          <w:kern w:val="0"/>
          <w:sz w:val="32"/>
          <w:szCs w:val="32"/>
        </w:rPr>
        <w:t>第二部分“</w:t>
      </w:r>
      <w:r>
        <w:rPr>
          <w:rFonts w:hint="eastAsia" w:ascii="仿宋_GB2312" w:hAnsi="微软雅黑" w:eastAsia="仿宋_GB2312" w:cs="宋体"/>
          <w:b/>
          <w:bCs/>
          <w:color w:val="000000"/>
          <w:kern w:val="0"/>
          <w:sz w:val="32"/>
          <w:szCs w:val="32"/>
          <w:lang w:val="en-US" w:eastAsia="zh-CN"/>
        </w:rPr>
        <w:t>饮用水水源基础环境状况</w:t>
      </w:r>
      <w:r>
        <w:rPr>
          <w:rFonts w:hint="eastAsia" w:ascii="仿宋_GB2312" w:hAnsi="微软雅黑" w:eastAsia="仿宋_GB2312" w:cs="宋体"/>
          <w:b/>
          <w:bCs/>
          <w:color w:val="000000"/>
          <w:kern w:val="0"/>
          <w:sz w:val="32"/>
          <w:szCs w:val="32"/>
        </w:rPr>
        <w:t>”。</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val="en-US" w:eastAsia="zh-CN"/>
        </w:rPr>
        <w:t>调查了区域自然状况、区域经济状况、土地使用现状及规划情况、新增（调整）饮用水水源地基础状况、饮用水水源地的水质状况、饮用水水源地周边及上游污染源、水源地环境风险等</w:t>
      </w:r>
      <w:r>
        <w:rPr>
          <w:rFonts w:hint="eastAsia" w:ascii="仿宋_GB2312" w:hAnsi="仿宋_GB2312" w:eastAsia="仿宋_GB2312" w:cs="仿宋_GB2312"/>
          <w:sz w:val="32"/>
          <w:szCs w:val="32"/>
        </w:rPr>
        <w:t>。</w:t>
      </w:r>
    </w:p>
    <w:p w14:paraId="38ABE8ED">
      <w:pPr>
        <w:widowControl/>
        <w:shd w:val="clear" w:color="auto" w:fill="FFFFFF"/>
        <w:spacing w:line="360" w:lineRule="auto"/>
        <w:ind w:firstLine="64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b/>
          <w:bCs/>
          <w:color w:val="000000"/>
          <w:kern w:val="0"/>
          <w:sz w:val="32"/>
          <w:szCs w:val="32"/>
        </w:rPr>
        <w:t>第三部分“</w:t>
      </w:r>
      <w:r>
        <w:rPr>
          <w:rFonts w:hint="eastAsia" w:ascii="仿宋_GB2312" w:hAnsi="微软雅黑" w:eastAsia="仿宋_GB2312" w:cs="宋体"/>
          <w:b/>
          <w:bCs/>
          <w:color w:val="000000"/>
          <w:kern w:val="0"/>
          <w:sz w:val="32"/>
          <w:szCs w:val="32"/>
          <w:lang w:val="en-US" w:eastAsia="zh-CN"/>
        </w:rPr>
        <w:t>保护区划分（调整）与定界</w:t>
      </w:r>
      <w:r>
        <w:rPr>
          <w:rFonts w:hint="eastAsia" w:ascii="仿宋_GB2312" w:hAnsi="微软雅黑" w:eastAsia="仿宋_GB2312" w:cs="宋体"/>
          <w:b/>
          <w:bCs/>
          <w:color w:val="000000"/>
          <w:kern w:val="0"/>
          <w:sz w:val="32"/>
          <w:szCs w:val="32"/>
        </w:rPr>
        <w:t>”。</w:t>
      </w:r>
      <w:r>
        <w:rPr>
          <w:rFonts w:hint="eastAsia" w:ascii="仿宋_GB2312" w:hAnsi="微软雅黑" w:eastAsia="仿宋_GB2312" w:cs="宋体"/>
          <w:b w:val="0"/>
          <w:bCs w:val="0"/>
          <w:color w:val="000000"/>
          <w:kern w:val="0"/>
          <w:sz w:val="32"/>
          <w:szCs w:val="32"/>
          <w:lang w:val="en-US" w:eastAsia="zh-CN"/>
        </w:rPr>
        <w:t>主要明确了保护区划分</w:t>
      </w:r>
      <w:r>
        <w:rPr>
          <w:rFonts w:hint="eastAsia" w:ascii="仿宋_GB2312" w:hAnsi="仿宋_GB2312" w:eastAsia="仿宋_GB2312" w:cs="仿宋_GB2312"/>
          <w:b w:val="0"/>
          <w:bCs w:val="0"/>
          <w:sz w:val="32"/>
          <w:szCs w:val="32"/>
          <w:lang w:val="en-US" w:eastAsia="zh-CN"/>
        </w:rPr>
        <w:t>（调整）</w:t>
      </w:r>
      <w:r>
        <w:rPr>
          <w:rFonts w:hint="eastAsia" w:ascii="仿宋_GB2312" w:hAnsi="微软雅黑" w:eastAsia="仿宋_GB2312" w:cs="宋体"/>
          <w:b w:val="0"/>
          <w:bCs w:val="0"/>
          <w:color w:val="000000"/>
          <w:kern w:val="0"/>
          <w:sz w:val="32"/>
          <w:szCs w:val="32"/>
          <w:lang w:val="en-US" w:eastAsia="zh-CN"/>
        </w:rPr>
        <w:t>思路及技术方法，确定保护区划分方案</w:t>
      </w:r>
      <w:r>
        <w:rPr>
          <w:rFonts w:hint="eastAsia" w:ascii="仿宋_GB2312" w:hAnsi="仿宋_GB2312" w:eastAsia="仿宋_GB2312" w:cs="仿宋_GB2312"/>
          <w:b w:val="0"/>
          <w:bCs w:val="0"/>
          <w:sz w:val="32"/>
          <w:szCs w:val="32"/>
          <w:lang w:val="en-US" w:eastAsia="zh-CN"/>
        </w:rPr>
        <w:t>（调整）</w:t>
      </w:r>
      <w:r>
        <w:rPr>
          <w:rFonts w:hint="eastAsia" w:ascii="仿宋_GB2312" w:hAnsi="微软雅黑" w:eastAsia="仿宋_GB2312" w:cs="宋体"/>
          <w:b w:val="0"/>
          <w:bCs w:val="0"/>
          <w:color w:val="000000"/>
          <w:kern w:val="0"/>
          <w:sz w:val="32"/>
          <w:szCs w:val="32"/>
          <w:lang w:val="en-US" w:eastAsia="zh-CN"/>
        </w:rPr>
        <w:t>及图件，进一步确定保护区定界方案及技术说明。</w:t>
      </w:r>
    </w:p>
    <w:p w14:paraId="5B9D6C95">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第四部分“</w:t>
      </w:r>
      <w:r>
        <w:rPr>
          <w:rFonts w:hint="eastAsia" w:ascii="仿宋_GB2312" w:hAnsi="仿宋_GB2312" w:eastAsia="仿宋_GB2312" w:cs="仿宋_GB2312"/>
          <w:b/>
          <w:bCs/>
          <w:sz w:val="32"/>
          <w:szCs w:val="32"/>
          <w:lang w:val="en-US" w:eastAsia="zh-CN"/>
        </w:rPr>
        <w:t>划分（调整）方案可行性分析</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主要从</w:t>
      </w:r>
      <w:r>
        <w:rPr>
          <w:rFonts w:hint="eastAsia" w:ascii="仿宋_GB2312" w:hAnsi="仿宋_GB2312" w:eastAsia="仿宋_GB2312" w:cs="仿宋_GB2312"/>
          <w:sz w:val="32"/>
          <w:szCs w:val="32"/>
          <w:lang w:val="en-US" w:eastAsia="zh-CN"/>
        </w:rPr>
        <w:t>划分</w:t>
      </w:r>
      <w:r>
        <w:rPr>
          <w:rFonts w:hint="eastAsia" w:ascii="仿宋_GB2312" w:hAnsi="仿宋_GB2312" w:eastAsia="仿宋_GB2312" w:cs="仿宋_GB2312"/>
          <w:b w:val="0"/>
          <w:bCs w:val="0"/>
          <w:sz w:val="32"/>
          <w:szCs w:val="32"/>
          <w:lang w:val="en-US" w:eastAsia="zh-CN"/>
        </w:rPr>
        <w:t>（调整）</w:t>
      </w:r>
      <w:r>
        <w:rPr>
          <w:rFonts w:hint="eastAsia" w:ascii="仿宋_GB2312" w:hAnsi="仿宋_GB2312" w:eastAsia="仿宋_GB2312" w:cs="仿宋_GB2312"/>
          <w:sz w:val="32"/>
          <w:szCs w:val="32"/>
          <w:lang w:val="en-US" w:eastAsia="zh-CN"/>
        </w:rPr>
        <w:t>方案的合法合规性及技术可行性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区域规划相符性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供水水量可达性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供水水质可达性</w:t>
      </w:r>
      <w:r>
        <w:rPr>
          <w:rFonts w:hint="eastAsia" w:ascii="仿宋_GB2312" w:hAnsi="仿宋_GB2312" w:eastAsia="仿宋_GB2312" w:cs="仿宋_GB2312"/>
          <w:sz w:val="32"/>
          <w:szCs w:val="32"/>
        </w:rPr>
        <w:t>等方面</w:t>
      </w:r>
      <w:r>
        <w:rPr>
          <w:rFonts w:hint="eastAsia" w:ascii="仿宋_GB2312" w:hAnsi="仿宋_GB2312" w:eastAsia="仿宋_GB2312" w:cs="仿宋_GB2312"/>
          <w:sz w:val="32"/>
          <w:szCs w:val="32"/>
          <w:lang w:val="en-US" w:eastAsia="zh-CN"/>
        </w:rPr>
        <w:t>论证划分</w:t>
      </w:r>
      <w:r>
        <w:rPr>
          <w:rFonts w:hint="eastAsia" w:ascii="仿宋_GB2312" w:hAnsi="仿宋_GB2312" w:eastAsia="仿宋_GB2312" w:cs="仿宋_GB2312"/>
          <w:b w:val="0"/>
          <w:bCs w:val="0"/>
          <w:sz w:val="32"/>
          <w:szCs w:val="32"/>
          <w:lang w:val="en-US" w:eastAsia="zh-CN"/>
        </w:rPr>
        <w:t>（调整）</w:t>
      </w:r>
      <w:r>
        <w:rPr>
          <w:rFonts w:hint="eastAsia" w:ascii="仿宋_GB2312" w:hAnsi="仿宋_GB2312" w:eastAsia="仿宋_GB2312" w:cs="仿宋_GB2312"/>
          <w:sz w:val="32"/>
          <w:szCs w:val="32"/>
          <w:lang w:val="en-US" w:eastAsia="zh-CN"/>
        </w:rPr>
        <w:t>方案可行性</w:t>
      </w:r>
      <w:r>
        <w:rPr>
          <w:rFonts w:hint="eastAsia" w:ascii="仿宋_GB2312" w:hAnsi="仿宋_GB2312" w:eastAsia="仿宋_GB2312" w:cs="仿宋_GB2312"/>
          <w:sz w:val="32"/>
          <w:szCs w:val="32"/>
        </w:rPr>
        <w:t>。</w:t>
      </w:r>
    </w:p>
    <w:p w14:paraId="768A6D1B">
      <w:pPr>
        <w:spacing w:line="360" w:lineRule="auto"/>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bCs/>
          <w:sz w:val="32"/>
          <w:szCs w:val="32"/>
        </w:rPr>
        <w:t>第五部分“</w:t>
      </w:r>
      <w:r>
        <w:rPr>
          <w:rFonts w:hint="eastAsia" w:ascii="仿宋_GB2312" w:hAnsi="仿宋_GB2312" w:eastAsia="仿宋_GB2312" w:cs="仿宋_GB2312"/>
          <w:b/>
          <w:bCs/>
          <w:sz w:val="32"/>
          <w:szCs w:val="32"/>
          <w:lang w:val="en-US" w:eastAsia="zh-CN"/>
        </w:rPr>
        <w:t>规范化建设与管理要求</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val="en-US" w:eastAsia="zh-CN"/>
        </w:rPr>
        <w:t>遵循</w:t>
      </w:r>
      <w:r>
        <w:rPr>
          <w:rFonts w:hint="eastAsia" w:ascii="仿宋_GB2312" w:hAnsi="仿宋_GB2312" w:eastAsia="仿宋_GB2312" w:cs="仿宋_GB2312"/>
          <w:sz w:val="32"/>
          <w:lang w:val="en-US" w:eastAsia="zh-CN"/>
        </w:rPr>
        <w:t>相关法律法规要求</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确定规范化建设相关措施</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强化</w:t>
      </w:r>
      <w:r>
        <w:rPr>
          <w:rFonts w:hint="eastAsia" w:ascii="仿宋_GB2312" w:hAnsi="仿宋_GB2312" w:eastAsia="仿宋_GB2312" w:cs="仿宋_GB2312"/>
          <w:sz w:val="32"/>
          <w:szCs w:val="32"/>
          <w:lang w:val="en-US" w:eastAsia="zh-CN"/>
        </w:rPr>
        <w:t>监督管理和监测预警</w:t>
      </w:r>
      <w:r>
        <w:rPr>
          <w:rFonts w:hint="eastAsia" w:ascii="仿宋_GB2312" w:hAnsi="仿宋_GB2312" w:eastAsia="仿宋_GB2312" w:cs="仿宋_GB2312"/>
          <w:sz w:val="32"/>
          <w:szCs w:val="32"/>
        </w:rPr>
        <w:t>，</w:t>
      </w:r>
      <w:r>
        <w:rPr>
          <w:rFonts w:hint="eastAsia" w:ascii="仿宋_GB2312" w:hAnsi="仿宋_GB2312" w:eastAsia="仿宋_GB2312" w:cs="仿宋_GB2312"/>
          <w:sz w:val="32"/>
          <w:lang w:val="en-US" w:eastAsia="zh-CN"/>
        </w:rPr>
        <w:t>进一步保障饮用水水源地安全</w:t>
      </w:r>
      <w:r>
        <w:rPr>
          <w:rFonts w:hint="eastAsia" w:ascii="仿宋_GB2312" w:hAnsi="仿宋_GB2312" w:eastAsia="仿宋_GB2312" w:cs="仿宋_GB2312"/>
          <w:sz w:val="32"/>
        </w:rPr>
        <w:t>。</w:t>
      </w:r>
    </w:p>
    <w:p w14:paraId="3D0EE80C">
      <w:pPr>
        <w:spacing w:line="360" w:lineRule="auto"/>
        <w:ind w:firstLine="643" w:firstLineChars="200"/>
        <w:rPr>
          <w:rFonts w:hint="eastAsia" w:ascii="仿宋_GB2312" w:hAnsi="微软雅黑" w:eastAsia="仿宋_GB2312" w:cs="宋体"/>
          <w:color w:val="000000"/>
          <w:kern w:val="0"/>
          <w:sz w:val="32"/>
          <w:szCs w:val="32"/>
        </w:rPr>
      </w:pPr>
      <w:r>
        <w:rPr>
          <w:rFonts w:hint="eastAsia" w:ascii="仿宋_GB2312" w:hAnsi="仿宋_GB2312" w:eastAsia="仿宋_GB2312" w:cs="仿宋_GB2312"/>
          <w:b/>
          <w:bCs/>
          <w:sz w:val="32"/>
          <w:szCs w:val="32"/>
        </w:rPr>
        <w:t>第六部分“</w:t>
      </w:r>
      <w:r>
        <w:rPr>
          <w:rFonts w:hint="eastAsia" w:ascii="仿宋_GB2312" w:hAnsi="仿宋_GB2312" w:eastAsia="仿宋_GB2312" w:cs="仿宋_GB2312"/>
          <w:b/>
          <w:bCs/>
          <w:sz w:val="32"/>
          <w:szCs w:val="32"/>
          <w:lang w:val="en-US" w:eastAsia="zh-CN"/>
        </w:rPr>
        <w:t>事故风险分析及应急措施</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主要</w:t>
      </w:r>
      <w:r>
        <w:rPr>
          <w:rFonts w:hint="eastAsia" w:ascii="仿宋_GB2312" w:hAnsi="仿宋_GB2312" w:eastAsia="仿宋_GB2312" w:cs="仿宋_GB2312"/>
          <w:sz w:val="32"/>
          <w:szCs w:val="32"/>
          <w:lang w:val="en-US" w:eastAsia="zh-CN"/>
        </w:rPr>
        <w:t>进行事故风险识别与分析，确定风险防范措施</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val="en-US" w:eastAsia="zh-CN"/>
        </w:rPr>
        <w:t>水源应急管理研究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提出饮用水水源地突发污染事件应急预案</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val="en-US" w:eastAsia="zh-CN"/>
        </w:rPr>
        <w:t>事故风险应对</w:t>
      </w:r>
      <w:r>
        <w:rPr>
          <w:rFonts w:hint="eastAsia" w:ascii="仿宋_GB2312" w:hAnsi="仿宋_GB2312" w:eastAsia="仿宋_GB2312" w:cs="仿宋_GB2312"/>
          <w:sz w:val="32"/>
          <w:szCs w:val="32"/>
        </w:rPr>
        <w:t>能力。</w:t>
      </w:r>
    </w:p>
    <w:p w14:paraId="41C420C1">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第七部分“</w:t>
      </w:r>
      <w:r>
        <w:rPr>
          <w:rFonts w:hint="eastAsia" w:ascii="仿宋_GB2312" w:hAnsi="仿宋_GB2312" w:eastAsia="仿宋_GB2312" w:cs="仿宋_GB2312"/>
          <w:b/>
          <w:bCs/>
          <w:sz w:val="32"/>
          <w:szCs w:val="32"/>
          <w:lang w:val="en-US" w:eastAsia="zh-CN"/>
        </w:rPr>
        <w:t>结论与建议</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总结了划分</w:t>
      </w:r>
      <w:r>
        <w:rPr>
          <w:rFonts w:hint="eastAsia" w:ascii="仿宋_GB2312" w:hAnsi="仿宋_GB2312" w:eastAsia="仿宋_GB2312" w:cs="仿宋_GB2312"/>
          <w:b w:val="0"/>
          <w:bCs w:val="0"/>
          <w:sz w:val="32"/>
          <w:szCs w:val="32"/>
          <w:lang w:val="en-US" w:eastAsia="zh-CN"/>
        </w:rPr>
        <w:t>（调整）</w:t>
      </w:r>
      <w:r>
        <w:rPr>
          <w:rFonts w:hint="eastAsia" w:ascii="仿宋_GB2312" w:hAnsi="仿宋_GB2312" w:eastAsia="仿宋_GB2312" w:cs="仿宋_GB2312"/>
          <w:sz w:val="32"/>
          <w:szCs w:val="32"/>
          <w:lang w:val="en-US" w:eastAsia="zh-CN"/>
        </w:rPr>
        <w:t>的必要性及明确的划分方案，并提出保障水源地安全的相关建议</w:t>
      </w:r>
      <w:r>
        <w:rPr>
          <w:rFonts w:hint="eastAsia" w:ascii="仿宋_GB2312" w:hAnsi="仿宋_GB2312" w:eastAsia="仿宋_GB2312" w:cs="仿宋_GB2312"/>
          <w:sz w:val="32"/>
          <w:szCs w:val="32"/>
        </w:rPr>
        <w:t>。</w:t>
      </w:r>
    </w:p>
    <w:p w14:paraId="1B69D6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部分“</w:t>
      </w:r>
      <w:r>
        <w:rPr>
          <w:rFonts w:hint="eastAsia" w:ascii="仿宋_GB2312" w:hAnsi="仿宋_GB2312" w:eastAsia="仿宋_GB2312" w:cs="仿宋_GB2312"/>
          <w:b/>
          <w:bCs/>
          <w:sz w:val="32"/>
          <w:szCs w:val="32"/>
          <w:lang w:val="en-US" w:eastAsia="zh-CN"/>
        </w:rPr>
        <w:t>附件</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件主要包括始兴县现有水源地批复、征求意见及采纳说明、专家评审情况、检验检测报告及取样现场图片等</w:t>
      </w:r>
      <w:r>
        <w:rPr>
          <w:rFonts w:hint="eastAsia" w:ascii="仿宋_GB2312" w:hAnsi="仿宋_GB2312" w:eastAsia="仿宋_GB2312" w:cs="仿宋_GB2312"/>
          <w:sz w:val="32"/>
          <w:szCs w:val="32"/>
        </w:rPr>
        <w:t>。</w:t>
      </w:r>
    </w:p>
    <w:p w14:paraId="425A06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lang w:val="en-US" w:eastAsia="zh-CN"/>
        </w:rPr>
      </w:pPr>
      <w:r>
        <w:rPr>
          <w:rFonts w:hint="eastAsia" w:ascii="黑体" w:hAnsi="黑体" w:eastAsia="黑体" w:cs="黑体"/>
          <w:kern w:val="2"/>
          <w:sz w:val="32"/>
          <w:szCs w:val="24"/>
          <w:lang w:val="en-US" w:eastAsia="zh-CN" w:bidi="ar-SA"/>
        </w:rPr>
        <w:t>五、</w:t>
      </w:r>
      <w:r>
        <w:rPr>
          <w:rFonts w:hint="eastAsia" w:ascii="黑体" w:hAnsi="黑体" w:eastAsia="黑体" w:cs="黑体"/>
          <w:lang w:val="en-US" w:eastAsia="zh-CN"/>
        </w:rPr>
        <w:t>《技术报告》的适用范围</w:t>
      </w:r>
    </w:p>
    <w:p w14:paraId="6F1E74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lang w:val="en-US" w:eastAsia="zh-CN"/>
        </w:rPr>
        <w:t>《技术报告》涉及调整1个和新增划定12个在用饮用水水源地保护区，适用于隘子镇石井饮用水水源地（调整）、建国村斜梅凹地表水饮用水水源地、井下村鸭麻坑地表水饮用水水源地、五星村吊拐坑地表水饮用水水源地、风度村石灰窑地表水饮用水水源地，司前镇甘太村下再地表水饮用水水源地、黄沙村岩子石坑地表水饮用水水源地、江草村黄竹山地表水饮用水水源地、温下村压吉山地表水饮用水水源地、月武村田一片乌龟坑地表水饮用水水源地、月武村上河铜仔坑地表水饮用水水源地，澄江镇潭坑村大坑迳地表水饮用水水源地，马市镇远迳村菜子坑地表水饮用水水源地。</w:t>
      </w:r>
    </w:p>
    <w:p w14:paraId="27A6F1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lang w:val="en-US" w:eastAsia="zh-CN"/>
        </w:rPr>
      </w:pPr>
      <w:r>
        <w:rPr>
          <w:rFonts w:hint="eastAsia" w:ascii="黑体" w:hAnsi="黑体" w:eastAsia="黑体" w:cs="黑体"/>
          <w:lang w:val="en-US" w:eastAsia="zh-CN"/>
        </w:rPr>
        <w:t>六、制定《技术报告》拟解决的问题</w:t>
      </w:r>
    </w:p>
    <w:p w14:paraId="339B64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lang w:val="en-US" w:eastAsia="zh-CN"/>
        </w:rPr>
      </w:pPr>
      <w:r>
        <w:rPr>
          <w:rFonts w:hint="eastAsia"/>
          <w:b/>
          <w:bCs/>
          <w:lang w:val="en-US" w:eastAsia="zh-CN"/>
        </w:rPr>
        <w:t>一是</w:t>
      </w:r>
      <w:r>
        <w:rPr>
          <w:rFonts w:hint="eastAsia"/>
          <w:lang w:val="en-US" w:eastAsia="zh-CN"/>
        </w:rPr>
        <w:t>解决县域集中供水格局与水源保护区范围不匹配的问题，让保护范围更贴合实际供水需求。</w:t>
      </w:r>
      <w:r>
        <w:rPr>
          <w:rFonts w:hint="eastAsia"/>
          <w:b/>
          <w:bCs/>
          <w:lang w:val="en-US" w:eastAsia="zh-CN"/>
        </w:rPr>
        <w:t>二是</w:t>
      </w:r>
      <w:r>
        <w:rPr>
          <w:rFonts w:hint="eastAsia"/>
          <w:lang w:val="en-US" w:eastAsia="zh-CN"/>
        </w:rPr>
        <w:t>破解部分水源地保护责任不清、管控无序的难题，通过精准划定边界明确管理责任。</w:t>
      </w:r>
      <w:r>
        <w:rPr>
          <w:rFonts w:hint="eastAsia"/>
          <w:b/>
          <w:bCs/>
          <w:lang w:val="en-US" w:eastAsia="zh-CN"/>
        </w:rPr>
        <w:t>三是</w:t>
      </w:r>
      <w:r>
        <w:rPr>
          <w:rFonts w:hint="eastAsia"/>
          <w:lang w:val="en-US" w:eastAsia="zh-CN"/>
        </w:rPr>
        <w:t>补齐农村饮用水水源保护、监测预警、风险防控及应急能力等方面的短板。</w:t>
      </w:r>
      <w:r>
        <w:rPr>
          <w:rFonts w:hint="eastAsia"/>
          <w:b/>
          <w:bCs/>
          <w:lang w:val="en-US" w:eastAsia="zh-CN"/>
        </w:rPr>
        <w:t>四是</w:t>
      </w:r>
      <w:r>
        <w:rPr>
          <w:rFonts w:hint="eastAsia"/>
          <w:lang w:val="en-US" w:eastAsia="zh-CN"/>
        </w:rPr>
        <w:t>理顺农村集中式饮用水水源保护区划分管理体系，推动形成规范化、长效化的保护机制，切实筑牢农村饮水安全防线。</w:t>
      </w:r>
    </w:p>
    <w:p w14:paraId="29B9B8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p>
    <w:p w14:paraId="457FDC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280" w:rightChars="400" w:firstLine="640" w:firstLineChars="200"/>
        <w:jc w:val="right"/>
        <w:textAlignment w:val="auto"/>
        <w:rPr>
          <w:rFonts w:hint="default"/>
          <w:lang w:val="en-US" w:eastAsia="zh-CN"/>
        </w:rPr>
      </w:pPr>
    </w:p>
    <w:p w14:paraId="454682A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lang w:val="en-US" w:eastAsia="zh-CN"/>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B7370"/>
    <w:rsid w:val="03CC41AB"/>
    <w:rsid w:val="0E8E2318"/>
    <w:rsid w:val="14C330C4"/>
    <w:rsid w:val="1CBB1BB0"/>
    <w:rsid w:val="27150D4F"/>
    <w:rsid w:val="2F9B6F08"/>
    <w:rsid w:val="315D2D09"/>
    <w:rsid w:val="34632ED3"/>
    <w:rsid w:val="4F8A5317"/>
    <w:rsid w:val="653672AF"/>
    <w:rsid w:val="66834ABD"/>
    <w:rsid w:val="68A9738A"/>
    <w:rsid w:val="6A752562"/>
    <w:rsid w:val="6B754C23"/>
    <w:rsid w:val="742B7370"/>
    <w:rsid w:val="78A0269B"/>
    <w:rsid w:val="7AED4462"/>
    <w:rsid w:val="7DB45C9F"/>
    <w:rsid w:val="EFB72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33e493d5-e2d5-4dd4-88bf-71393d9f761e</errorID>
      <errorWord xmlns="http://schemas.wps.cn/vas-ai-hub/contract-review">和边界</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边界和</item>
      </candidateList>
      <explain xmlns="http://schemas.wps.cn/vas-ai-hub/contract-review">句子可能没有遵循时空、逻辑顺序，或者介词、关联词等位置不当。</explain>
      <paraID xmlns="http://schemas.wps.cn/vas-ai-hub/contract-review">774B2C42</paraID>
      <start xmlns="http://schemas.wps.cn/vas-ai-hub/contract-review">163</start>
      <end xmlns="http://schemas.wps.cn/vas-ai-hub/contract-review">166</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d0d9c03e-2bcb-491d-a622-3a7a5f4bb79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2453</Words>
  <Characters>2479</Characters>
  <Lines>0</Lines>
  <Paragraphs>0</Paragraphs>
  <TotalTime>7</TotalTime>
  <ScaleCrop>false</ScaleCrop>
  <LinksUpToDate>false</LinksUpToDate>
  <CharactersWithSpaces>2480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2025-12-29T11:24:00Z</dcterms:created>
  <dc:creator>始兴分局综合股赖丽杰</dc:creator>
  <cp:lastModifiedBy>虾</cp:lastModifiedBy>
  <cp:lastPrinted>2026-01-08T09:48:00Z</cp:lastPrinted>
  <dcterms:modified xsi:type="dcterms:W3CDTF">2026-01-15T10:33:43Z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4EDF913F31FC41AE8274145A3C7976A4_13</vt:lpwstr>
  </property>
  <property fmtid="{D5CDD505-2E9C-101B-9397-08002B2CF9AE}" pid="4" name="KSOTemplateDocerSaveRecord">
    <vt:lpwstr>eyJoZGlkIjoiNGE2MjZiMjRmMTM2MTIxMGVkOGEzMzI4MjFhYzA3MzUiLCJ1c2VySWQiOiIzMjc0MjIwMTIifQ==</vt:lpwstr>
  </property>
</Properties>
</file>