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DB7FAF">
      <w:pPr>
        <w:pStyle w:val="18"/>
        <w:widowControl w:val="0"/>
        <w:autoSpaceDE w:val="0"/>
        <w:autoSpaceDN w:val="0"/>
        <w:rPr>
          <w:rFonts w:hint="eastAsia" w:ascii="黑体" w:hAnsi="黑体" w:eastAsia="黑体"/>
          <w:sz w:val="32"/>
          <w:lang w:eastAsia="zh-CN"/>
        </w:rPr>
      </w:pPr>
      <w:r>
        <w:rPr>
          <w:rFonts w:hint="eastAsia" w:ascii="黑体" w:hAnsi="黑体" w:eastAsia="黑体"/>
          <w:sz w:val="32"/>
        </w:rPr>
        <w:t>附件</w:t>
      </w:r>
      <w:r>
        <w:rPr>
          <w:rFonts w:hint="eastAsia" w:ascii="黑体" w:hAnsi="黑体" w:eastAsia="黑体"/>
          <w:sz w:val="32"/>
          <w:lang w:val="en-US" w:eastAsia="zh-CN"/>
        </w:rPr>
        <w:t>4</w:t>
      </w:r>
    </w:p>
    <w:p w14:paraId="585981F7">
      <w:pPr>
        <w:pStyle w:val="18"/>
        <w:widowControl w:val="0"/>
        <w:autoSpaceDE w:val="0"/>
        <w:autoSpaceDN w:val="0"/>
        <w:ind w:left="0" w:leftChars="0" w:right="0" w:rightChars="0" w:firstLine="0" w:firstLineChars="0"/>
        <w:jc w:val="center"/>
        <w:rPr>
          <w:rFonts w:hint="eastAsia" w:ascii="FangSong.GB2312" w:hAnsi="FangSong.GB2312" w:eastAsia="FangSong.GB2312"/>
          <w:sz w:val="30"/>
          <w:lang w:eastAsia="zh-CN"/>
        </w:rPr>
      </w:pPr>
    </w:p>
    <w:p w14:paraId="022DBBE4">
      <w:pPr>
        <w:pStyle w:val="18"/>
        <w:widowControl w:val="0"/>
        <w:autoSpaceDE w:val="0"/>
        <w:autoSpaceDN w:val="0"/>
        <w:ind w:left="0" w:leftChars="0" w:right="0" w:rightChars="0" w:firstLine="0" w:firstLineChars="0"/>
        <w:jc w:val="center"/>
        <w:rPr>
          <w:rFonts w:hint="eastAsia" w:ascii="FangSong.GB2312" w:hAnsi="FangSong.GB2312" w:eastAsia="FangSong.GB2312"/>
          <w:sz w:val="30"/>
          <w:lang w:eastAsia="zh-CN"/>
        </w:rPr>
      </w:pPr>
    </w:p>
    <w:p w14:paraId="6B459EEB">
      <w:pPr>
        <w:pStyle w:val="18"/>
        <w:widowControl w:val="0"/>
        <w:autoSpaceDE w:val="0"/>
        <w:autoSpaceDN w:val="0"/>
        <w:ind w:left="0" w:leftChars="0" w:right="0" w:rightChars="0" w:firstLine="0" w:firstLineChars="0"/>
        <w:jc w:val="center"/>
        <w:rPr>
          <w:rFonts w:hint="eastAsia" w:ascii="FangSong.GB2312" w:hAnsi="FangSong.GB2312" w:eastAsia="FangSong.GB2312"/>
          <w:sz w:val="30"/>
          <w:lang w:eastAsia="zh-CN"/>
        </w:rPr>
      </w:pPr>
    </w:p>
    <w:p w14:paraId="0E20BA66">
      <w:pPr>
        <w:pStyle w:val="18"/>
        <w:widowControl w:val="0"/>
        <w:autoSpaceDE w:val="0"/>
        <w:autoSpaceDN w:val="0"/>
        <w:ind w:left="0" w:leftChars="0" w:right="0" w:rightChars="0" w:firstLine="0" w:firstLineChars="0"/>
        <w:jc w:val="center"/>
        <w:rPr>
          <w:rFonts w:hint="eastAsia" w:ascii="FangSong.GB2312" w:hAnsi="FangSong.GB2312" w:eastAsia="FangSong.GB2312"/>
          <w:b/>
          <w:bCs/>
          <w:sz w:val="52"/>
          <w:lang w:eastAsia="zh-CN"/>
        </w:rPr>
      </w:pPr>
      <w:r>
        <w:rPr>
          <w:rFonts w:hint="eastAsia" w:ascii="FangSong.GB2312" w:hAnsi="FangSong.GB2312" w:eastAsia="FangSong.GB2312"/>
          <w:b/>
          <w:bCs/>
          <w:sz w:val="52"/>
          <w:lang w:eastAsia="zh-CN"/>
        </w:rPr>
        <w:t>部门整体支出绩效自评报告</w:t>
      </w:r>
    </w:p>
    <w:p w14:paraId="495BBB84">
      <w:pPr>
        <w:pStyle w:val="18"/>
        <w:widowControl w:val="0"/>
        <w:autoSpaceDE w:val="0"/>
        <w:autoSpaceDN w:val="0"/>
        <w:ind w:left="0" w:leftChars="0" w:right="0" w:rightChars="0" w:firstLine="0" w:firstLineChars="0"/>
        <w:jc w:val="center"/>
        <w:rPr>
          <w:rFonts w:hint="eastAsia" w:ascii="宋体" w:hAnsi="宋体" w:eastAsia="宋体"/>
          <w:sz w:val="36"/>
        </w:rPr>
      </w:pPr>
    </w:p>
    <w:p w14:paraId="7F36671C">
      <w:pPr>
        <w:pStyle w:val="18"/>
        <w:widowControl w:val="0"/>
        <w:autoSpaceDE w:val="0"/>
        <w:autoSpaceDN w:val="0"/>
        <w:ind w:left="0" w:leftChars="0" w:right="0" w:rightChars="0" w:firstLine="0" w:firstLineChars="0"/>
        <w:jc w:val="center"/>
        <w:rPr>
          <w:rFonts w:hint="eastAsia" w:ascii="宋体" w:hAnsi="宋体" w:eastAsia="宋体"/>
          <w:sz w:val="36"/>
        </w:rPr>
      </w:pPr>
    </w:p>
    <w:p w14:paraId="434683B0">
      <w:pPr>
        <w:pStyle w:val="18"/>
        <w:widowControl w:val="0"/>
        <w:autoSpaceDE w:val="0"/>
        <w:autoSpaceDN w:val="0"/>
        <w:ind w:left="0" w:leftChars="0" w:right="0" w:rightChars="0" w:firstLine="0" w:firstLineChars="0"/>
        <w:jc w:val="center"/>
        <w:rPr>
          <w:rFonts w:hint="eastAsia" w:ascii="宋体" w:hAnsi="宋体" w:eastAsia="宋体"/>
          <w:sz w:val="36"/>
        </w:rPr>
      </w:pPr>
    </w:p>
    <w:p w14:paraId="3DF08E71">
      <w:pPr>
        <w:pStyle w:val="18"/>
        <w:widowControl w:val="0"/>
        <w:autoSpaceDE w:val="0"/>
        <w:autoSpaceDN w:val="0"/>
        <w:ind w:left="0" w:leftChars="0" w:right="0" w:rightChars="0" w:firstLine="0" w:firstLineChars="0"/>
        <w:jc w:val="center"/>
        <w:rPr>
          <w:rFonts w:hint="eastAsia" w:ascii="宋体" w:hAnsi="宋体" w:eastAsia="宋体"/>
          <w:sz w:val="36"/>
        </w:rPr>
      </w:pPr>
    </w:p>
    <w:p w14:paraId="5E418FCE">
      <w:pPr>
        <w:pStyle w:val="18"/>
        <w:widowControl w:val="0"/>
        <w:autoSpaceDE w:val="0"/>
        <w:autoSpaceDN w:val="0"/>
        <w:ind w:left="0" w:leftChars="0" w:right="0" w:rightChars="0" w:firstLine="0" w:firstLineChars="0"/>
        <w:jc w:val="center"/>
        <w:rPr>
          <w:rFonts w:hint="eastAsia" w:ascii="宋体" w:hAnsi="宋体" w:eastAsia="宋体"/>
          <w:sz w:val="36"/>
        </w:rPr>
      </w:pPr>
    </w:p>
    <w:p w14:paraId="051AF31A">
      <w:pPr>
        <w:pStyle w:val="18"/>
        <w:widowControl w:val="0"/>
        <w:autoSpaceDE w:val="0"/>
        <w:autoSpaceDN w:val="0"/>
        <w:ind w:left="0" w:leftChars="0" w:right="0" w:rightChars="0" w:firstLine="0" w:firstLineChars="0"/>
        <w:jc w:val="center"/>
        <w:rPr>
          <w:rFonts w:hint="eastAsia" w:ascii="宋体" w:hAnsi="宋体" w:eastAsia="宋体"/>
          <w:sz w:val="36"/>
        </w:rPr>
      </w:pPr>
    </w:p>
    <w:p w14:paraId="703119A1">
      <w:pPr>
        <w:pStyle w:val="18"/>
        <w:widowControl w:val="0"/>
        <w:autoSpaceDE w:val="0"/>
        <w:autoSpaceDN w:val="0"/>
        <w:ind w:left="0" w:leftChars="0" w:right="0" w:rightChars="0" w:firstLine="0" w:firstLineChars="0"/>
        <w:jc w:val="both"/>
        <w:rPr>
          <w:rFonts w:hint="eastAsia" w:ascii="宋体" w:hAnsi="宋体"/>
          <w:sz w:val="36"/>
          <w:lang w:val="en-US" w:eastAsia="zh-CN"/>
        </w:rPr>
      </w:pPr>
      <w:r>
        <w:rPr>
          <w:rFonts w:hint="eastAsia" w:ascii="宋体" w:hAnsi="宋体"/>
          <w:sz w:val="36"/>
          <w:lang w:val="en-US" w:eastAsia="zh-CN"/>
        </w:rPr>
        <w:t xml:space="preserve">   </w:t>
      </w:r>
    </w:p>
    <w:p w14:paraId="3F8C59A2">
      <w:pPr>
        <w:pStyle w:val="18"/>
        <w:widowControl w:val="0"/>
        <w:autoSpaceDE w:val="0"/>
        <w:autoSpaceDN w:val="0"/>
        <w:ind w:left="0" w:leftChars="0" w:right="0" w:rightChars="0" w:firstLine="0" w:firstLineChars="0"/>
        <w:jc w:val="both"/>
        <w:rPr>
          <w:rFonts w:hint="eastAsia" w:ascii="宋体" w:hAnsi="宋体"/>
          <w:sz w:val="36"/>
          <w:lang w:val="en-US" w:eastAsia="zh-CN"/>
        </w:rPr>
      </w:pPr>
    </w:p>
    <w:p w14:paraId="4F7C6363">
      <w:pPr>
        <w:pStyle w:val="18"/>
        <w:widowControl w:val="0"/>
        <w:autoSpaceDE w:val="0"/>
        <w:autoSpaceDN w:val="0"/>
        <w:ind w:left="0" w:leftChars="0" w:right="0" w:rightChars="0" w:firstLine="0" w:firstLineChars="0"/>
        <w:jc w:val="both"/>
        <w:rPr>
          <w:rFonts w:hint="default" w:ascii="宋体" w:hAnsi="宋体" w:eastAsia="宋体"/>
          <w:sz w:val="36"/>
          <w:lang w:val="en-US" w:eastAsia="zh-CN"/>
        </w:rPr>
      </w:pPr>
      <w:r>
        <w:rPr>
          <w:rFonts w:hint="eastAsia" w:ascii="宋体" w:hAnsi="宋体" w:eastAsia="宋体"/>
          <w:sz w:val="36"/>
        </w:rPr>
        <w:t>部门名称：</w:t>
      </w:r>
      <w:r>
        <w:rPr>
          <w:rFonts w:hint="eastAsia" w:ascii="宋体" w:hAnsi="宋体"/>
          <w:sz w:val="36"/>
          <w:lang w:val="en-US" w:eastAsia="zh-CN"/>
        </w:rPr>
        <w:t>始兴县退役军人事务局</w:t>
      </w:r>
    </w:p>
    <w:p w14:paraId="6007D96A">
      <w:pPr>
        <w:pStyle w:val="18"/>
        <w:widowControl w:val="0"/>
        <w:autoSpaceDE w:val="0"/>
        <w:autoSpaceDN w:val="0"/>
        <w:ind w:left="0" w:leftChars="0" w:right="0" w:rightChars="0" w:firstLine="0" w:firstLineChars="0"/>
        <w:jc w:val="both"/>
        <w:rPr>
          <w:rFonts w:hint="eastAsia" w:ascii="宋体" w:hAnsi="宋体"/>
          <w:sz w:val="36"/>
          <w:lang w:val="en-US" w:eastAsia="zh-CN"/>
        </w:rPr>
      </w:pPr>
      <w:r>
        <w:rPr>
          <w:rFonts w:hint="eastAsia" w:ascii="宋体" w:hAnsi="宋体"/>
          <w:sz w:val="36"/>
          <w:lang w:val="en-US" w:eastAsia="zh-CN"/>
        </w:rPr>
        <w:t xml:space="preserve">         </w:t>
      </w:r>
    </w:p>
    <w:p w14:paraId="1D6EC6C0">
      <w:pPr>
        <w:pStyle w:val="18"/>
        <w:widowControl w:val="0"/>
        <w:autoSpaceDE w:val="0"/>
        <w:autoSpaceDN w:val="0"/>
        <w:ind w:left="0" w:leftChars="0" w:right="0" w:rightChars="0" w:firstLine="0" w:firstLineChars="0"/>
        <w:jc w:val="both"/>
        <w:rPr>
          <w:rFonts w:hint="default" w:ascii="宋体" w:hAnsi="宋体" w:eastAsia="宋体"/>
          <w:sz w:val="36"/>
          <w:lang w:val="en-US" w:eastAsia="zh-CN"/>
        </w:rPr>
      </w:pPr>
      <w:r>
        <w:rPr>
          <w:rFonts w:hint="eastAsia" w:ascii="宋体" w:hAnsi="宋体" w:eastAsia="宋体"/>
          <w:sz w:val="36"/>
        </w:rPr>
        <w:t>填</w:t>
      </w:r>
      <w:r>
        <w:rPr>
          <w:rFonts w:hint="eastAsia" w:ascii="宋体" w:hAnsi="宋体"/>
          <w:sz w:val="36"/>
          <w:lang w:val="en-US" w:eastAsia="zh-CN"/>
        </w:rPr>
        <w:t xml:space="preserve"> </w:t>
      </w:r>
      <w:r>
        <w:rPr>
          <w:rFonts w:hint="eastAsia" w:ascii="宋体" w:hAnsi="宋体" w:eastAsia="宋体"/>
          <w:sz w:val="36"/>
        </w:rPr>
        <w:t>报</w:t>
      </w:r>
      <w:r>
        <w:rPr>
          <w:rFonts w:hint="eastAsia" w:ascii="宋体" w:hAnsi="宋体"/>
          <w:sz w:val="36"/>
          <w:lang w:val="en-US" w:eastAsia="zh-CN"/>
        </w:rPr>
        <w:t xml:space="preserve"> </w:t>
      </w:r>
      <w:r>
        <w:rPr>
          <w:rFonts w:hint="eastAsia" w:ascii="宋体" w:hAnsi="宋体" w:eastAsia="宋体"/>
          <w:sz w:val="36"/>
        </w:rPr>
        <w:t>人：</w:t>
      </w:r>
      <w:r>
        <w:rPr>
          <w:rFonts w:hint="eastAsia" w:ascii="宋体" w:hAnsi="宋体"/>
          <w:sz w:val="36"/>
          <w:lang w:val="en-US" w:eastAsia="zh-CN"/>
        </w:rPr>
        <w:t>雷蕙华</w:t>
      </w:r>
    </w:p>
    <w:p w14:paraId="5689703D">
      <w:pPr>
        <w:pStyle w:val="18"/>
        <w:widowControl w:val="0"/>
        <w:autoSpaceDE w:val="0"/>
        <w:autoSpaceDN w:val="0"/>
        <w:ind w:left="0" w:leftChars="0" w:right="0" w:rightChars="0" w:firstLine="0" w:firstLineChars="0"/>
        <w:jc w:val="both"/>
        <w:rPr>
          <w:rFonts w:hint="eastAsia" w:ascii="宋体" w:hAnsi="宋体"/>
          <w:sz w:val="36"/>
          <w:lang w:val="en-US" w:eastAsia="zh-CN"/>
        </w:rPr>
      </w:pPr>
      <w:r>
        <w:rPr>
          <w:rFonts w:hint="eastAsia" w:ascii="宋体" w:hAnsi="宋体"/>
          <w:sz w:val="36"/>
          <w:lang w:val="en-US" w:eastAsia="zh-CN"/>
        </w:rPr>
        <w:t xml:space="preserve">        </w:t>
      </w:r>
    </w:p>
    <w:p w14:paraId="18748DCA">
      <w:pPr>
        <w:pStyle w:val="18"/>
        <w:widowControl w:val="0"/>
        <w:autoSpaceDE w:val="0"/>
        <w:autoSpaceDN w:val="0"/>
        <w:ind w:left="0" w:leftChars="0" w:right="0" w:rightChars="0" w:firstLine="0" w:firstLineChars="0"/>
        <w:jc w:val="both"/>
        <w:rPr>
          <w:rFonts w:hint="default" w:ascii="宋体" w:hAnsi="宋体" w:eastAsia="宋体"/>
          <w:sz w:val="36"/>
          <w:lang w:val="en-US" w:eastAsia="zh-CN"/>
        </w:rPr>
      </w:pPr>
      <w:r>
        <w:rPr>
          <w:rFonts w:hint="eastAsia" w:ascii="宋体" w:hAnsi="宋体" w:eastAsia="宋体"/>
          <w:sz w:val="36"/>
        </w:rPr>
        <w:t>联系电话：</w:t>
      </w:r>
      <w:r>
        <w:rPr>
          <w:rFonts w:hint="eastAsia" w:ascii="宋体" w:hAnsi="宋体"/>
          <w:sz w:val="36"/>
          <w:lang w:val="en-US" w:eastAsia="zh-CN"/>
        </w:rPr>
        <w:t>0751-6973383</w:t>
      </w:r>
    </w:p>
    <w:p w14:paraId="3DA4C7F3">
      <w:pPr>
        <w:pStyle w:val="18"/>
        <w:widowControl w:val="0"/>
        <w:autoSpaceDE w:val="0"/>
        <w:autoSpaceDN w:val="0"/>
        <w:ind w:left="0" w:leftChars="0" w:right="0" w:rightChars="0" w:firstLine="0" w:firstLineChars="0"/>
        <w:jc w:val="both"/>
        <w:rPr>
          <w:rFonts w:hint="eastAsia" w:ascii="宋体" w:hAnsi="宋体" w:eastAsia="宋体"/>
          <w:sz w:val="36"/>
          <w:lang w:val="en-US" w:eastAsia="zh-CN"/>
        </w:rPr>
      </w:pPr>
      <w:r>
        <w:rPr>
          <w:rFonts w:hint="eastAsia" w:ascii="宋体" w:hAnsi="宋体"/>
          <w:sz w:val="36"/>
          <w:lang w:val="en-US" w:eastAsia="zh-CN"/>
        </w:rPr>
        <w:t xml:space="preserve"> </w:t>
      </w:r>
    </w:p>
    <w:p w14:paraId="0117453E">
      <w:pPr>
        <w:ind w:left="0" w:leftChars="0" w:right="0" w:rightChars="0" w:firstLine="0" w:firstLineChars="0"/>
        <w:jc w:val="both"/>
        <w:rPr>
          <w:rFonts w:hint="eastAsia" w:ascii="黑体" w:hAnsi="黑体" w:eastAsia="黑体"/>
          <w:sz w:val="32"/>
        </w:rPr>
      </w:pPr>
      <w:r>
        <w:rPr>
          <w:rFonts w:hint="eastAsia" w:ascii="宋体" w:hAnsi="宋体" w:eastAsia="宋体"/>
          <w:sz w:val="36"/>
        </w:rPr>
        <w:t>填报日期：</w:t>
      </w:r>
      <w:r>
        <w:rPr>
          <w:rFonts w:hint="eastAsia" w:ascii="宋体" w:hAnsi="宋体"/>
          <w:sz w:val="36"/>
          <w:lang w:val="en-US" w:eastAsia="zh-CN"/>
        </w:rPr>
        <w:t>2025-05-19</w:t>
      </w:r>
      <w:r>
        <w:rPr>
          <w:rFonts w:hint="eastAsia" w:ascii="宋体" w:hAnsi="宋体" w:eastAsia="宋体"/>
          <w:sz w:val="36"/>
        </w:rPr>
        <w:br w:type="page"/>
      </w:r>
      <w:r>
        <w:rPr>
          <w:rFonts w:hint="eastAsia" w:ascii="宋体" w:hAnsi="宋体"/>
          <w:sz w:val="36"/>
          <w:lang w:val="en-US" w:eastAsia="zh-CN"/>
        </w:rPr>
        <w:t xml:space="preserve">    </w:t>
      </w:r>
      <w:r>
        <w:rPr>
          <w:rFonts w:hint="eastAsia" w:ascii="黑体" w:hAnsi="黑体" w:eastAsia="黑体"/>
          <w:sz w:val="32"/>
        </w:rPr>
        <w:t>一、部门基本情况</w:t>
      </w:r>
    </w:p>
    <w:p w14:paraId="5D816DE0">
      <w:pPr>
        <w:numPr>
          <w:ilvl w:val="0"/>
          <w:numId w:val="1"/>
        </w:numPr>
        <w:ind w:left="0" w:leftChars="0" w:right="0" w:rightChars="0" w:firstLine="640" w:firstLineChars="200"/>
        <w:jc w:val="left"/>
        <w:rPr>
          <w:rFonts w:hint="eastAsia" w:ascii="仿宋_GB2312" w:hAnsi="仿宋_GB2312" w:eastAsia="仿宋_GB2312"/>
          <w:sz w:val="32"/>
        </w:rPr>
      </w:pPr>
      <w:r>
        <w:rPr>
          <w:rFonts w:hint="eastAsia" w:ascii="楷体_GB2312" w:hAnsi="楷体_GB2312" w:eastAsia="楷体_GB2312" w:cs="楷体_GB2312"/>
          <w:sz w:val="32"/>
        </w:rPr>
        <w:t>部门职能</w:t>
      </w:r>
      <w:r>
        <w:rPr>
          <w:rFonts w:hint="eastAsia" w:ascii="仿宋_GB2312" w:hAnsi="仿宋_GB2312" w:eastAsia="仿宋_GB2312"/>
          <w:sz w:val="32"/>
        </w:rPr>
        <w:t>。</w:t>
      </w:r>
    </w:p>
    <w:p w14:paraId="5B40B48A">
      <w:pPr>
        <w:ind w:left="0" w:leftChars="0" w:right="0" w:rightChars="0" w:firstLine="640" w:firstLineChars="200"/>
        <w:jc w:val="left"/>
        <w:rPr>
          <w:rFonts w:hint="eastAsia" w:ascii="仿宋_GB2312" w:eastAsia="仿宋_GB2312"/>
          <w:sz w:val="32"/>
          <w:szCs w:val="32"/>
        </w:rPr>
      </w:pPr>
      <w:r>
        <w:rPr>
          <w:rFonts w:hint="eastAsia" w:ascii="仿宋_GB2312" w:eastAsia="仿宋_GB2312"/>
          <w:sz w:val="32"/>
          <w:szCs w:val="32"/>
        </w:rPr>
        <w:t>1.负责退役军人思想政治、管理保障和安置优抚等工作政策法规的组织实施，褒扬彰显退役军人为党、国家和人民牺牲奉献的精神风范和价值导向。</w:t>
      </w:r>
    </w:p>
    <w:p w14:paraId="1782ED81">
      <w:pPr>
        <w:ind w:left="0" w:leftChars="0" w:right="0" w:rightChars="0" w:firstLine="640" w:firstLineChars="200"/>
        <w:jc w:val="left"/>
        <w:rPr>
          <w:rFonts w:hint="eastAsia" w:ascii="仿宋_GB2312" w:eastAsia="仿宋_GB2312"/>
          <w:sz w:val="32"/>
          <w:szCs w:val="32"/>
        </w:rPr>
      </w:pPr>
      <w:r>
        <w:rPr>
          <w:rFonts w:hint="eastAsia" w:ascii="仿宋_GB2312" w:eastAsia="仿宋_GB2312"/>
          <w:sz w:val="32"/>
          <w:szCs w:val="32"/>
        </w:rPr>
        <w:t>2.负责军人转业干部、复员干部、离退休干部、退役士兵和无军籍退休退职职工的移交安置工作。</w:t>
      </w:r>
    </w:p>
    <w:p w14:paraId="4A0826EF">
      <w:pPr>
        <w:ind w:left="0" w:leftChars="0" w:right="0" w:rightChars="0" w:firstLine="640" w:firstLineChars="200"/>
        <w:jc w:val="left"/>
        <w:rPr>
          <w:rFonts w:hint="eastAsia" w:ascii="仿宋_GB2312" w:eastAsia="仿宋_GB2312"/>
          <w:sz w:val="32"/>
          <w:szCs w:val="32"/>
        </w:rPr>
      </w:pPr>
      <w:r>
        <w:rPr>
          <w:rFonts w:hint="eastAsia" w:ascii="仿宋_GB2312" w:eastAsia="仿宋_GB2312"/>
          <w:sz w:val="32"/>
          <w:szCs w:val="32"/>
        </w:rPr>
        <w:t>3.贯彻落实全县军队转业干部、退役士兵、随军家属及随调家属安置办法及安置计划并组织实施。</w:t>
      </w:r>
    </w:p>
    <w:p w14:paraId="3AA7A8A2">
      <w:pPr>
        <w:ind w:left="0" w:leftChars="0" w:right="0" w:rightChars="0" w:firstLine="640" w:firstLineChars="200"/>
        <w:jc w:val="left"/>
        <w:rPr>
          <w:rFonts w:hint="eastAsia" w:ascii="仿宋_GB2312" w:eastAsia="仿宋_GB2312"/>
          <w:sz w:val="32"/>
          <w:szCs w:val="32"/>
        </w:rPr>
      </w:pPr>
      <w:r>
        <w:rPr>
          <w:rFonts w:hint="eastAsia" w:ascii="仿宋_GB2312" w:eastAsia="仿宋_GB2312"/>
          <w:sz w:val="32"/>
          <w:szCs w:val="32"/>
        </w:rPr>
        <w:t>4.负责退役军人教育培训、优待抚恤等工作。</w:t>
      </w:r>
    </w:p>
    <w:p w14:paraId="0E3BDC00">
      <w:pPr>
        <w:ind w:left="0" w:leftChars="0" w:right="0" w:rightChars="0" w:firstLine="640" w:firstLineChars="200"/>
        <w:jc w:val="left"/>
        <w:rPr>
          <w:rFonts w:hint="eastAsia" w:ascii="仿宋_GB2312" w:eastAsia="仿宋_GB2312"/>
          <w:sz w:val="32"/>
          <w:szCs w:val="32"/>
        </w:rPr>
      </w:pPr>
      <w:r>
        <w:rPr>
          <w:rFonts w:hint="eastAsia" w:ascii="仿宋_GB2312" w:eastAsia="仿宋_GB2312"/>
          <w:sz w:val="32"/>
          <w:szCs w:val="32"/>
        </w:rPr>
        <w:t>5.负责自主择业军队转业干部服务管理、待遇保障等工作，承担军队转业干部安置工作小组办公室日常工作。</w:t>
      </w:r>
    </w:p>
    <w:p w14:paraId="59BE47EE">
      <w:pPr>
        <w:ind w:left="0" w:leftChars="0" w:right="0" w:rightChars="0" w:firstLine="640" w:firstLineChars="200"/>
        <w:jc w:val="left"/>
        <w:rPr>
          <w:rFonts w:hint="eastAsia" w:ascii="仿宋_GB2312" w:eastAsia="仿宋_GB2312"/>
          <w:sz w:val="32"/>
          <w:szCs w:val="32"/>
        </w:rPr>
      </w:pPr>
      <w:r>
        <w:rPr>
          <w:rFonts w:hint="eastAsia" w:ascii="仿宋_GB2312" w:eastAsia="仿宋_GB2312"/>
          <w:sz w:val="32"/>
          <w:szCs w:val="32"/>
        </w:rPr>
        <w:t>6.组织指导拥军优属活动，承担审核、报批、褒扬革命烈士工作，负责优抚对象的抚恤，指导优抚事业单位的管理，承担双拥工作领导小组办公室的日常工作。</w:t>
      </w:r>
    </w:p>
    <w:p w14:paraId="13E31E71">
      <w:pPr>
        <w:ind w:left="0" w:leftChars="0" w:right="0" w:rightChars="0" w:firstLine="640" w:firstLineChars="200"/>
        <w:jc w:val="left"/>
        <w:rPr>
          <w:rFonts w:hint="eastAsia" w:ascii="仿宋_GB2312" w:eastAsia="仿宋_GB2312"/>
          <w:sz w:val="32"/>
          <w:szCs w:val="32"/>
        </w:rPr>
      </w:pPr>
      <w:r>
        <w:rPr>
          <w:rFonts w:hint="eastAsia" w:ascii="仿宋_GB2312" w:eastAsia="仿宋_GB2312"/>
          <w:sz w:val="32"/>
          <w:szCs w:val="32"/>
        </w:rPr>
        <w:t>7.承办县委、县政府的其他事项。</w:t>
      </w:r>
    </w:p>
    <w:p w14:paraId="430B3380">
      <w:pPr>
        <w:ind w:left="0" w:leftChars="0" w:right="0" w:rightChars="0" w:firstLine="640" w:firstLineChars="200"/>
        <w:jc w:val="left"/>
        <w:rPr>
          <w:rFonts w:hint="eastAsia" w:ascii="仿宋_GB2312" w:hAnsi="仿宋_GB2312" w:eastAsia="仿宋_GB2312"/>
          <w:sz w:val="32"/>
        </w:rPr>
      </w:pPr>
      <w:r>
        <w:rPr>
          <w:rFonts w:hint="eastAsia" w:ascii="仿宋_GB2312" w:eastAsia="仿宋_GB2312"/>
          <w:sz w:val="32"/>
          <w:szCs w:val="32"/>
        </w:rPr>
        <w:t>8.局本部内设机构3个，分别是双拥工作股，移交安置与就业创业股，办公室。</w:t>
      </w:r>
    </w:p>
    <w:p w14:paraId="0BE3A121">
      <w:pPr>
        <w:ind w:left="0" w:leftChars="0" w:right="0" w:rightChars="0" w:firstLine="640" w:firstLineChars="200"/>
        <w:jc w:val="left"/>
        <w:rPr>
          <w:rFonts w:hint="eastAsia" w:ascii="楷体_GB2312" w:hAnsi="楷体_GB2312" w:eastAsia="楷体_GB2312" w:cs="楷体_GB2312"/>
          <w:sz w:val="32"/>
        </w:rPr>
      </w:pPr>
      <w:r>
        <w:rPr>
          <w:rFonts w:hint="eastAsia" w:ascii="楷体_GB2312" w:hAnsi="楷体_GB2312" w:eastAsia="楷体_GB2312" w:cs="楷体_GB2312"/>
          <w:sz w:val="32"/>
        </w:rPr>
        <w:t>（二）年度总体工作和重点工作任务。</w:t>
      </w:r>
    </w:p>
    <w:p w14:paraId="7D66343B">
      <w:pPr>
        <w:ind w:left="0" w:leftChars="0" w:right="0" w:rightChars="0" w:firstLine="640" w:firstLineChars="200"/>
        <w:jc w:val="left"/>
        <w:rPr>
          <w:rFonts w:hint="eastAsia" w:ascii="仿宋_GB2312" w:hAnsi="仿宋_GB2312" w:eastAsia="仿宋_GB2312"/>
          <w:sz w:val="32"/>
        </w:rPr>
      </w:pP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）负责退役军人思想政治、管理保障和安置优抚等 工作政策法规的组织实施，褒扬彰显退役军人为党、国家和 人民牺牲奉献的精神风范和价值导向。 （</w:t>
      </w:r>
      <w:r>
        <w:rPr>
          <w:rFonts w:hint="eastAsia" w:ascii="仿宋_GB2312" w:eastAsia="仿宋_GB2312"/>
          <w:sz w:val="32"/>
          <w:szCs w:val="32"/>
          <w:lang w:val="en-US" w:eastAsia="zh-CN"/>
        </w:rPr>
        <w:t>2</w:t>
      </w:r>
      <w:r>
        <w:rPr>
          <w:rFonts w:hint="eastAsia" w:ascii="仿宋_GB2312" w:eastAsia="仿宋_GB2312"/>
          <w:sz w:val="32"/>
          <w:szCs w:val="32"/>
        </w:rPr>
        <w:t>）负责军人转业干部、复员干部、离退休干部、退 役士兵和无军籍退休退职职工的移交安置工作。 （</w:t>
      </w:r>
      <w:r>
        <w:rPr>
          <w:rFonts w:hint="eastAsia" w:ascii="仿宋_GB2312" w:eastAsia="仿宋_GB2312"/>
          <w:sz w:val="32"/>
          <w:szCs w:val="32"/>
          <w:lang w:val="en-US" w:eastAsia="zh-CN"/>
        </w:rPr>
        <w:t>3</w:t>
      </w:r>
      <w:r>
        <w:rPr>
          <w:rFonts w:hint="eastAsia" w:ascii="仿宋_GB2312" w:eastAsia="仿宋_GB2312"/>
          <w:sz w:val="32"/>
          <w:szCs w:val="32"/>
        </w:rPr>
        <w:t>）贯彻落实全县军队转业干部、退役士兵、随军家 属及随调家属安置办法及安置计划并组织实施。（</w:t>
      </w:r>
      <w:r>
        <w:rPr>
          <w:rFonts w:hint="eastAsia" w:ascii="仿宋_GB2312" w:eastAsia="仿宋_GB2312"/>
          <w:sz w:val="32"/>
          <w:szCs w:val="32"/>
          <w:lang w:val="en-US" w:eastAsia="zh-CN"/>
        </w:rPr>
        <w:t>4</w:t>
      </w:r>
      <w:r>
        <w:rPr>
          <w:rFonts w:hint="eastAsia" w:ascii="仿宋_GB2312" w:eastAsia="仿宋_GB2312"/>
          <w:sz w:val="32"/>
          <w:szCs w:val="32"/>
        </w:rPr>
        <w:t>）负责退役军人教育培训、优待抚恤等工作。 （</w:t>
      </w:r>
      <w:r>
        <w:rPr>
          <w:rFonts w:hint="eastAsia" w:ascii="仿宋_GB2312" w:eastAsia="仿宋_GB2312"/>
          <w:sz w:val="32"/>
          <w:szCs w:val="32"/>
          <w:lang w:val="en-US" w:eastAsia="zh-CN"/>
        </w:rPr>
        <w:t>5</w:t>
      </w:r>
      <w:r>
        <w:rPr>
          <w:rFonts w:hint="eastAsia" w:ascii="仿宋_GB2312" w:eastAsia="仿宋_GB2312"/>
          <w:sz w:val="32"/>
          <w:szCs w:val="32"/>
        </w:rPr>
        <w:t>）负责自主择业军队转业干部服务管理、待遇保 障等工作，承担军队转业干部安置工作小组办公室日常工 作。 （</w:t>
      </w:r>
      <w:r>
        <w:rPr>
          <w:rFonts w:hint="eastAsia" w:ascii="仿宋_GB2312" w:eastAsia="仿宋_GB2312"/>
          <w:sz w:val="32"/>
          <w:szCs w:val="32"/>
          <w:lang w:val="en-US" w:eastAsia="zh-CN"/>
        </w:rPr>
        <w:t>6</w:t>
      </w:r>
      <w:r>
        <w:rPr>
          <w:rFonts w:hint="eastAsia" w:ascii="仿宋_GB2312" w:eastAsia="仿宋_GB2312"/>
          <w:sz w:val="32"/>
          <w:szCs w:val="32"/>
        </w:rPr>
        <w:t>）组织指导拥军优属活动，承担审核、报批、褒 扬革命烈士工作，负责优抚对象的抚恤，指导优抚事业单位 的管理，承担双拥工作领导小组办公室的日常工作。 （</w:t>
      </w:r>
      <w:r>
        <w:rPr>
          <w:rFonts w:hint="eastAsia" w:ascii="仿宋_GB2312" w:eastAsia="仿宋_GB2312"/>
          <w:sz w:val="32"/>
          <w:szCs w:val="32"/>
          <w:lang w:val="en-US" w:eastAsia="zh-CN"/>
        </w:rPr>
        <w:t>7</w:t>
      </w:r>
      <w:r>
        <w:rPr>
          <w:rFonts w:hint="eastAsia" w:ascii="仿宋_GB2312" w:eastAsia="仿宋_GB2312"/>
          <w:sz w:val="32"/>
          <w:szCs w:val="32"/>
        </w:rPr>
        <w:t>）承办县委、县政府的其他事项。</w:t>
      </w:r>
    </w:p>
    <w:p w14:paraId="47D5E368">
      <w:pPr>
        <w:ind w:left="0" w:leftChars="0" w:right="0" w:rightChars="0" w:firstLine="640" w:firstLineChars="200"/>
        <w:jc w:val="left"/>
        <w:rPr>
          <w:rFonts w:hint="eastAsia" w:ascii="楷体_GB2312" w:hAnsi="楷体_GB2312" w:eastAsia="楷体_GB2312" w:cs="楷体_GB2312"/>
          <w:sz w:val="32"/>
        </w:rPr>
      </w:pPr>
      <w:r>
        <w:rPr>
          <w:rFonts w:hint="eastAsia" w:ascii="楷体_GB2312" w:hAnsi="楷体_GB2312" w:eastAsia="楷体_GB2312" w:cs="楷体_GB2312"/>
          <w:sz w:val="32"/>
        </w:rPr>
        <w:t>（三）部门整体支出绩效目标。</w:t>
      </w:r>
    </w:p>
    <w:p w14:paraId="6AFF7FCE">
      <w:pPr>
        <w:ind w:left="0" w:leftChars="0" w:right="0" w:rightChars="0" w:firstLine="640" w:firstLineChars="200"/>
        <w:jc w:val="left"/>
        <w:rPr>
          <w:rFonts w:hint="eastAsia" w:ascii="仿宋_GB2312" w:hAnsi="仿宋_GB2312" w:eastAsia="仿宋_GB2312"/>
          <w:sz w:val="32"/>
        </w:rPr>
      </w:pPr>
      <w:r>
        <w:rPr>
          <w:rFonts w:hint="eastAsia" w:ascii="仿宋_GB2312" w:eastAsia="仿宋_GB2312"/>
          <w:sz w:val="32"/>
          <w:szCs w:val="32"/>
        </w:rPr>
        <w:t>我单位充分履行职责职能，严格按照有关的法律制度及政策法规使用、管理资金，成效明显，主要体现在以下几个方面：一是强化预算绩效目标管理；二是稳步开展绩效评价自评工作，所有县级项目均开展绩效自评工作；三是加大绩效信息公开力度，部门项目绩效自评情况均与部门决算信息进行了公开。</w:t>
      </w:r>
    </w:p>
    <w:p w14:paraId="18AFA256">
      <w:pPr>
        <w:numPr>
          <w:ilvl w:val="0"/>
          <w:numId w:val="2"/>
        </w:numPr>
        <w:ind w:left="0" w:leftChars="0" w:right="0" w:rightChars="0" w:firstLine="640" w:firstLineChars="200"/>
        <w:jc w:val="left"/>
        <w:rPr>
          <w:rFonts w:hint="eastAsia" w:ascii="仿宋_GB2312" w:eastAsia="仿宋_GB2312"/>
          <w:sz w:val="32"/>
          <w:szCs w:val="32"/>
        </w:rPr>
      </w:pPr>
      <w:r>
        <w:rPr>
          <w:rFonts w:hint="eastAsia" w:ascii="楷体_GB2312" w:hAnsi="楷体_GB2312" w:eastAsia="楷体_GB2312" w:cs="楷体_GB2312"/>
          <w:sz w:val="32"/>
        </w:rPr>
        <w:t>部门整体支出情况。</w:t>
      </w:r>
      <w:r>
        <w:rPr>
          <w:rFonts w:hint="eastAsia" w:ascii="仿宋_GB2312" w:hAnsi="仿宋_GB2312" w:eastAsia="仿宋_GB2312"/>
          <w:sz w:val="32"/>
          <w:lang w:eastAsia="zh-CN"/>
        </w:rPr>
        <w:t>分析</w:t>
      </w:r>
      <w:r>
        <w:rPr>
          <w:rFonts w:hint="eastAsia" w:ascii="仿宋_GB2312" w:eastAsia="仿宋_GB2312"/>
          <w:sz w:val="32"/>
          <w:szCs w:val="32"/>
        </w:rPr>
        <w:t>部门预算收支构成、资金来源、近两年预算支出预决算数据对比等。</w:t>
      </w:r>
    </w:p>
    <w:p w14:paraId="5FD19F76">
      <w:pPr>
        <w:numPr>
          <w:ilvl w:val="0"/>
          <w:numId w:val="0"/>
        </w:numPr>
        <w:ind w:right="0" w:rightChars="0"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2024年，</w:t>
      </w:r>
      <w:r>
        <w:rPr>
          <w:rFonts w:hint="eastAsia" w:ascii="仿宋_GB2312" w:eastAsia="仿宋_GB2312"/>
          <w:sz w:val="32"/>
          <w:szCs w:val="32"/>
        </w:rPr>
        <w:t>一般公共预算拨款2701.8万元，比上年增加22.36万元，其他各项收入0万元，比上年增加0万元。   其中：一般公共预算拨款2701.8万元，其他资金0万元。     2024年支出预算按用途划分，基本支出预算210万元，占7.77%，比上年增加12.43万元，增长6.29%。其中：工资福利支出192.1万元，对个人和家庭的补助0万元，商品和服务支出17.9万元，其他资本性支出等支出0万元；项目支出预算2491.8万元，占92.23%，比上年增加9.93万元，增长0.40%。     2024年一般公共预算拨款支出预算按用途划分，基本支出预算210万元，占7.77%，比上年增加12.43万元，增长6.29%。其中：工资福利支出192.1万元，对个人和家庭的补助0万元，商品和服务支出17.9万元，其他资本性支出等支出0万元；项目支出预算2491.8万元，占92.23%，比上年增加9.93万元，增长0.4%。     2024年一般公共预算安排“三公”经费3.41万元，比上年增加0万元，增长0%。主要原因：与上年持平，保持与去年一致</w:t>
      </w:r>
    </w:p>
    <w:p w14:paraId="6AB7450D">
      <w:pPr>
        <w:ind w:left="0" w:leftChars="0" w:right="0" w:rightChars="0" w:firstLine="640" w:firstLineChars="200"/>
        <w:jc w:val="left"/>
        <w:rPr>
          <w:rFonts w:hint="eastAsia" w:ascii="黑体" w:hAnsi="黑体" w:eastAsia="黑体"/>
          <w:sz w:val="32"/>
        </w:rPr>
      </w:pPr>
      <w:r>
        <w:rPr>
          <w:rFonts w:hint="eastAsia" w:ascii="黑体" w:hAnsi="黑体" w:eastAsia="黑体"/>
          <w:sz w:val="32"/>
        </w:rPr>
        <w:t>二、绩效自评情况</w:t>
      </w:r>
    </w:p>
    <w:p w14:paraId="6BEB137B">
      <w:pPr>
        <w:ind w:left="0" w:leftChars="0" w:right="0" w:rightChars="0" w:firstLine="640" w:firstLineChars="200"/>
        <w:jc w:val="left"/>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（一）履职效能分析</w:t>
      </w:r>
    </w:p>
    <w:p w14:paraId="6F7AE223">
      <w:pPr>
        <w:ind w:left="0" w:leftChars="0" w:right="0" w:rightChars="0"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lang w:eastAsia="zh-CN"/>
        </w:rPr>
        <w:t>结合部门职能与年度总体工作、重点工作任务反映部门整体绩效目标的产出和效益情况及部门预算支出情况，分析存在问题和改进方向。</w:t>
      </w:r>
    </w:p>
    <w:p w14:paraId="2AFFF5FD">
      <w:pPr>
        <w:ind w:left="0" w:leftChars="0" w:right="0" w:rightChars="0" w:firstLine="640" w:firstLineChars="200"/>
        <w:jc w:val="left"/>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（二）管理效率分析</w:t>
      </w:r>
    </w:p>
    <w:p w14:paraId="7533E31E">
      <w:pPr>
        <w:ind w:left="0" w:leftChars="0" w:right="0" w:rightChars="0"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lang w:eastAsia="zh-CN"/>
        </w:rPr>
        <w:t>反映在预算编制、预算执行、信息公开、绩效管理、采购管理、资产管理、运行成本等方面的实施情况，分析存在问题和改进方向。</w:t>
      </w:r>
    </w:p>
    <w:p w14:paraId="716EF964">
      <w:pPr>
        <w:ind w:left="0" w:leftChars="0" w:right="0" w:rightChars="0"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预算执行情况：我单位预算控制良好，全年的公用经费和人员经费，未向财政申请增加预算，执行预算时厉行节约。我单位预算完成率、调整率、支付进度率、结转经费控制率、“三公”经费控制率和政府采购执行率全部达标。我单位圆满完成预期目标，取得了较好的经济和社会评价。</w:t>
      </w:r>
    </w:p>
    <w:p w14:paraId="782C921E">
      <w:pPr>
        <w:ind w:left="0" w:leftChars="0" w:right="0" w:rightChars="0" w:firstLine="640" w:firstLineChars="200"/>
        <w:jc w:val="left"/>
        <w:rPr>
          <w:rFonts w:hint="default" w:ascii="仿宋_GB2312" w:hAnsi="仿宋_GB2312" w:eastAsia="仿宋_GB2312"/>
          <w:sz w:val="32"/>
          <w:lang w:val="en-US" w:eastAsia="zh-CN"/>
        </w:rPr>
      </w:pPr>
      <w:r>
        <w:rPr>
          <w:rFonts w:hint="default" w:ascii="仿宋_GB2312" w:hAnsi="仿宋_GB2312" w:eastAsia="仿宋_GB2312"/>
          <w:sz w:val="32"/>
          <w:lang w:val="en-US" w:eastAsia="zh-CN"/>
        </w:rPr>
        <w:t>资产管理</w:t>
      </w:r>
      <w:r>
        <w:rPr>
          <w:rFonts w:hint="eastAsia" w:ascii="仿宋_GB2312" w:hAnsi="仿宋_GB2312" w:eastAsia="仿宋_GB2312"/>
          <w:sz w:val="32"/>
          <w:lang w:val="en-US" w:eastAsia="zh-CN"/>
        </w:rPr>
        <w:t>情况：2024年资产总额135.25万元（注意金额单位，下同），较上年增加55.94万元，同比增长70.53%；负债总额0万元，较上年增加0万元，同比增长0%；</w:t>
      </w:r>
      <w:bookmarkStart w:id="0" w:name="_GoBack"/>
      <w:bookmarkEnd w:id="0"/>
      <w:r>
        <w:rPr>
          <w:rFonts w:hint="eastAsia" w:ascii="仿宋_GB2312" w:hAnsi="仿宋_GB2312" w:eastAsia="仿宋_GB2312"/>
          <w:sz w:val="32"/>
          <w:lang w:val="en-US" w:eastAsia="zh-CN"/>
        </w:rPr>
        <w:t>固定资产及时做好资产月结月报的工作，做到账实相符，及时盘点资产情况，按时开展资产自查。要强化固定资产的监督与管理，防止资产流失。建立资产采购、发放监督验收制度，严格领导車批、经手人签宇、申领人签字等手续。</w:t>
      </w:r>
    </w:p>
    <w:p w14:paraId="70B2F2A0">
      <w:pPr>
        <w:numPr>
          <w:ilvl w:val="0"/>
          <w:numId w:val="3"/>
        </w:numPr>
        <w:ind w:left="0" w:leftChars="0" w:right="0" w:rightChars="0" w:firstLine="640" w:firstLineChars="200"/>
        <w:jc w:val="left"/>
        <w:rPr>
          <w:rFonts w:hint="eastAsia" w:ascii="楷体_GB2312" w:hAnsi="楷体_GB2312" w:eastAsia="楷体_GB2312" w:cs="楷体_GB2312"/>
          <w:sz w:val="32"/>
        </w:rPr>
      </w:pPr>
      <w:r>
        <w:rPr>
          <w:rFonts w:hint="eastAsia" w:ascii="楷体_GB2312" w:hAnsi="楷体_GB2312" w:eastAsia="楷体_GB2312" w:cs="楷体_GB2312"/>
          <w:sz w:val="32"/>
        </w:rPr>
        <w:t>自评结论</w:t>
      </w:r>
    </w:p>
    <w:p w14:paraId="6A50778A">
      <w:pPr>
        <w:numPr>
          <w:ilvl w:val="0"/>
          <w:numId w:val="0"/>
        </w:numPr>
        <w:ind w:right="0" w:rightChars="0" w:firstLine="640" w:firstLineChars="200"/>
        <w:jc w:val="left"/>
        <w:rPr>
          <w:rFonts w:hint="eastAsia" w:ascii="仿宋_GB2312" w:eastAsia="仿宋_GB2312"/>
          <w:sz w:val="32"/>
          <w:szCs w:val="32"/>
        </w:rPr>
      </w:pPr>
      <w:r>
        <w:rPr>
          <w:rFonts w:hint="eastAsia" w:ascii="仿宋_GB2312" w:eastAsia="仿宋_GB2312"/>
          <w:sz w:val="32"/>
          <w:szCs w:val="32"/>
        </w:rPr>
        <w:t>涉及部门年度工作与部门职能、规划的相关程度判断，部门整体制度保障的完善程度，部门资金内部管理机制的健全程度，部门整体资源配置水平和能力等。</w:t>
      </w:r>
    </w:p>
    <w:p w14:paraId="2A1761E7">
      <w:pPr>
        <w:numPr>
          <w:ilvl w:val="0"/>
          <w:numId w:val="0"/>
        </w:numPr>
        <w:ind w:right="0" w:rightChars="0" w:firstLine="640" w:firstLineChars="200"/>
        <w:jc w:val="left"/>
        <w:rPr>
          <w:rFonts w:hint="eastAsia" w:ascii="仿宋_GB2312" w:eastAsia="仿宋_GB2312"/>
          <w:sz w:val="32"/>
          <w:szCs w:val="32"/>
        </w:rPr>
      </w:pPr>
      <w:r>
        <w:rPr>
          <w:rFonts w:hint="eastAsia" w:ascii="仿宋_GB2312" w:eastAsia="仿宋_GB2312"/>
          <w:sz w:val="32"/>
          <w:szCs w:val="32"/>
        </w:rPr>
        <w:t>我单位项目资金使用和管理严格遵照《行政事业单位财务制度》、《国库集中支付管理规定》，与财政年初专项资金预算相结合。在资金的使用上，坚持专款专用，量入为出的原则，节约成本的原则，使各项专用资金按规定的用途使用并达到预期目的。建立专项资金使用管理责任制，努力提高其使用效率。加强对项目资金事前、事中、事后全过程的管理监督，发挥专项资金效益的最大化。</w:t>
      </w:r>
    </w:p>
    <w:p w14:paraId="73CC58A2">
      <w:pPr>
        <w:numPr>
          <w:ilvl w:val="0"/>
          <w:numId w:val="0"/>
        </w:numPr>
        <w:ind w:right="0" w:rightChars="0"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我单位参照《2020年部门整体支出绩效评价自评表》进行自评评分，此次自评评分为98分。</w:t>
      </w:r>
    </w:p>
    <w:p w14:paraId="4E63D510">
      <w:pPr>
        <w:numPr>
          <w:ilvl w:val="0"/>
          <w:numId w:val="4"/>
        </w:numPr>
        <w:ind w:left="0" w:leftChars="0" w:right="0" w:rightChars="0" w:firstLine="640" w:firstLineChars="200"/>
        <w:jc w:val="left"/>
        <w:rPr>
          <w:rFonts w:hint="eastAsia" w:ascii="黑体" w:hAnsi="黑体" w:eastAsia="黑体"/>
          <w:sz w:val="32"/>
        </w:rPr>
      </w:pPr>
      <w:r>
        <w:rPr>
          <w:rFonts w:hint="eastAsia" w:ascii="黑体" w:hAnsi="黑体" w:eastAsia="黑体"/>
          <w:sz w:val="32"/>
        </w:rPr>
        <w:t>存在问题及改进意见</w:t>
      </w:r>
    </w:p>
    <w:p w14:paraId="3E224C94">
      <w:pPr>
        <w:numPr>
          <w:ilvl w:val="0"/>
          <w:numId w:val="0"/>
        </w:numPr>
        <w:ind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rPr>
        <w:t>就部门整体支出绩效管理存在问题</w:t>
      </w:r>
      <w:r>
        <w:rPr>
          <w:rFonts w:hint="eastAsia" w:ascii="仿宋_GB2312" w:hAnsi="仿宋_GB2312" w:eastAsia="仿宋_GB2312" w:cs="仿宋_GB2312"/>
          <w:sz w:val="32"/>
          <w:lang w:eastAsia="zh-CN"/>
        </w:rPr>
        <w:t>进行分析，</w:t>
      </w:r>
      <w:r>
        <w:rPr>
          <w:rFonts w:hint="eastAsia" w:ascii="仿宋_GB2312" w:hAnsi="仿宋_GB2312" w:eastAsia="仿宋_GB2312" w:cs="仿宋_GB2312"/>
          <w:sz w:val="32"/>
        </w:rPr>
        <w:t>提出改进措施</w:t>
      </w:r>
      <w:r>
        <w:rPr>
          <w:rFonts w:hint="eastAsia" w:ascii="仿宋_GB2312" w:hAnsi="仿宋_GB2312" w:eastAsia="仿宋_GB2312" w:cs="仿宋_GB2312"/>
          <w:sz w:val="32"/>
          <w:lang w:eastAsia="zh-CN"/>
        </w:rPr>
        <w:t>。</w:t>
      </w:r>
    </w:p>
    <w:p w14:paraId="35D451F3">
      <w:pPr>
        <w:numPr>
          <w:ilvl w:val="0"/>
          <w:numId w:val="0"/>
        </w:numPr>
        <w:ind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我局将紧紧围绕中央、省、市、县关于退役军人事务工作的决策部署，进一步健全完善退役军人服务保障体系，严格把控资金的使用，加强服务能力建设，严格落实各项优抚安置政策，高效推进社保接续工作，全面提升军民融合水平，切实加强人文关怀力度，着重防范化解重大风险工作，用心用情用力做好退役军人服务保障工作。</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angSong.GB2312">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35DE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27E832">
                          <w:pPr>
                            <w:pStyle w:val="2"/>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28"/>
                              <w:szCs w:val="32"/>
                            </w:rPr>
                            <w:fldChar w:fldCharType="begin"/>
                          </w:r>
                          <w:r>
                            <w:rPr>
                              <w:rFonts w:hint="eastAsia" w:ascii="仿宋_GB2312" w:hAnsi="仿宋_GB2312" w:eastAsia="仿宋_GB2312" w:cs="仿宋_GB2312"/>
                              <w:sz w:val="28"/>
                              <w:szCs w:val="32"/>
                            </w:rPr>
                            <w:instrText xml:space="preserve"> PAGE  \* MERGEFORMAT </w:instrText>
                          </w:r>
                          <w:r>
                            <w:rPr>
                              <w:rFonts w:hint="eastAsia" w:ascii="仿宋_GB2312" w:hAnsi="仿宋_GB2312" w:eastAsia="仿宋_GB2312" w:cs="仿宋_GB2312"/>
                              <w:sz w:val="28"/>
                              <w:szCs w:val="32"/>
                            </w:rPr>
                            <w:fldChar w:fldCharType="separate"/>
                          </w:r>
                          <w:r>
                            <w:rPr>
                              <w:rFonts w:hint="eastAsia" w:ascii="仿宋_GB2312" w:hAnsi="仿宋_GB2312" w:eastAsia="仿宋_GB2312" w:cs="仿宋_GB2312"/>
                              <w:sz w:val="28"/>
                              <w:szCs w:val="32"/>
                            </w:rPr>
                            <w:t>1</w:t>
                          </w:r>
                          <w:r>
                            <w:rPr>
                              <w:rFonts w:hint="eastAsia" w:ascii="仿宋_GB2312" w:hAnsi="仿宋_GB2312" w:eastAsia="仿宋_GB2312" w:cs="仿宋_GB2312"/>
                              <w:sz w:val="28"/>
                              <w:szCs w:val="32"/>
                            </w:rPr>
                            <w:fldChar w:fldCharType="end"/>
                          </w:r>
                          <w:r>
                            <w:rPr>
                              <w:rFonts w:hint="eastAsia" w:ascii="仿宋_GB2312" w:hAnsi="仿宋_GB2312" w:eastAsia="仿宋_GB2312" w:cs="仿宋_GB2312"/>
                              <w:sz w:val="28"/>
                              <w:szCs w:val="32"/>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F27E832">
                    <w:pPr>
                      <w:pStyle w:val="2"/>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28"/>
                        <w:szCs w:val="32"/>
                      </w:rPr>
                      <w:fldChar w:fldCharType="begin"/>
                    </w:r>
                    <w:r>
                      <w:rPr>
                        <w:rFonts w:hint="eastAsia" w:ascii="仿宋_GB2312" w:hAnsi="仿宋_GB2312" w:eastAsia="仿宋_GB2312" w:cs="仿宋_GB2312"/>
                        <w:sz w:val="28"/>
                        <w:szCs w:val="32"/>
                      </w:rPr>
                      <w:instrText xml:space="preserve"> PAGE  \* MERGEFORMAT </w:instrText>
                    </w:r>
                    <w:r>
                      <w:rPr>
                        <w:rFonts w:hint="eastAsia" w:ascii="仿宋_GB2312" w:hAnsi="仿宋_GB2312" w:eastAsia="仿宋_GB2312" w:cs="仿宋_GB2312"/>
                        <w:sz w:val="28"/>
                        <w:szCs w:val="32"/>
                      </w:rPr>
                      <w:fldChar w:fldCharType="separate"/>
                    </w:r>
                    <w:r>
                      <w:rPr>
                        <w:rFonts w:hint="eastAsia" w:ascii="仿宋_GB2312" w:hAnsi="仿宋_GB2312" w:eastAsia="仿宋_GB2312" w:cs="仿宋_GB2312"/>
                        <w:sz w:val="28"/>
                        <w:szCs w:val="32"/>
                      </w:rPr>
                      <w:t>1</w:t>
                    </w:r>
                    <w:r>
                      <w:rPr>
                        <w:rFonts w:hint="eastAsia" w:ascii="仿宋_GB2312" w:hAnsi="仿宋_GB2312" w:eastAsia="仿宋_GB2312" w:cs="仿宋_GB2312"/>
                        <w:sz w:val="28"/>
                        <w:szCs w:val="32"/>
                      </w:rPr>
                      <w:fldChar w:fldCharType="end"/>
                    </w:r>
                    <w:r>
                      <w:rPr>
                        <w:rFonts w:hint="eastAsia" w:ascii="仿宋_GB2312" w:hAnsi="仿宋_GB2312" w:eastAsia="仿宋_GB2312" w:cs="仿宋_GB2312"/>
                        <w:sz w:val="28"/>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06C4E"/>
    <w:multiLevelType w:val="singleLevel"/>
    <w:tmpl w:val="89706C4E"/>
    <w:lvl w:ilvl="0" w:tentative="0">
      <w:start w:val="1"/>
      <w:numFmt w:val="chineseCounting"/>
      <w:suff w:val="nothing"/>
      <w:lvlText w:val="（%1）"/>
      <w:lvlJc w:val="left"/>
      <w:rPr>
        <w:rFonts w:hint="eastAsia"/>
      </w:rPr>
    </w:lvl>
  </w:abstractNum>
  <w:abstractNum w:abstractNumId="1">
    <w:nsid w:val="9AEFDCAC"/>
    <w:multiLevelType w:val="singleLevel"/>
    <w:tmpl w:val="9AEFDCAC"/>
    <w:lvl w:ilvl="0" w:tentative="0">
      <w:start w:val="4"/>
      <w:numFmt w:val="chineseCounting"/>
      <w:suff w:val="nothing"/>
      <w:lvlText w:val="（%1）"/>
      <w:lvlJc w:val="left"/>
      <w:rPr>
        <w:rFonts w:hint="eastAsia"/>
      </w:rPr>
    </w:lvl>
  </w:abstractNum>
  <w:abstractNum w:abstractNumId="2">
    <w:nsid w:val="FB296227"/>
    <w:multiLevelType w:val="singleLevel"/>
    <w:tmpl w:val="FB296227"/>
    <w:lvl w:ilvl="0" w:tentative="0">
      <w:start w:val="3"/>
      <w:numFmt w:val="chineseCounting"/>
      <w:suff w:val="nothing"/>
      <w:lvlText w:val="%1、"/>
      <w:lvlJc w:val="left"/>
      <w:rPr>
        <w:rFonts w:hint="eastAsia"/>
      </w:rPr>
    </w:lvl>
  </w:abstractNum>
  <w:abstractNum w:abstractNumId="3">
    <w:nsid w:val="7289AB2E"/>
    <w:multiLevelType w:val="singleLevel"/>
    <w:tmpl w:val="7289AB2E"/>
    <w:lvl w:ilvl="0" w:tentative="0">
      <w:start w:val="3"/>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MGQyODJjNmQ3OThlZThiNDA3NmRmMzIzY2RjYjMifQ=="/>
  </w:docVars>
  <w:rsids>
    <w:rsidRoot w:val="00172A27"/>
    <w:rsid w:val="121B0F9A"/>
    <w:rsid w:val="19B07ACE"/>
    <w:rsid w:val="2D8D6F31"/>
    <w:rsid w:val="3D987913"/>
    <w:rsid w:val="41E128A5"/>
    <w:rsid w:val="467320EF"/>
    <w:rsid w:val="55DA38A0"/>
    <w:rsid w:val="620204A2"/>
    <w:rsid w:val="69975281"/>
    <w:rsid w:val="6C2B2226"/>
    <w:rsid w:val="7C9E26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正文 New New New New"/>
    <w:uiPriority w:val="0"/>
    <w:pPr>
      <w:widowControl w:val="0"/>
      <w:jc w:val="both"/>
    </w:pPr>
    <w:rPr>
      <w:rFonts w:ascii="Times New Roman" w:hAnsi="Times New Roman" w:eastAsia="宋体" w:cs="Times New Roman"/>
      <w:kern w:val="2"/>
      <w:sz w:val="21"/>
      <w:szCs w:val="24"/>
      <w:lang w:val="en-US" w:eastAsia="zh-CN"/>
    </w:rPr>
  </w:style>
  <w:style w:type="paragraph" w:customStyle="1" w:styleId="7">
    <w:name w:val="Normal New New New New"/>
    <w:uiPriority w:val="0"/>
    <w:pPr>
      <w:jc w:val="both"/>
    </w:pPr>
    <w:rPr>
      <w:rFonts w:ascii="Times New Roman" w:hAnsi="Times New Roman" w:eastAsia="宋体" w:cs="Times New Roman"/>
      <w:kern w:val="2"/>
      <w:sz w:val="21"/>
    </w:rPr>
  </w:style>
  <w:style w:type="paragraph" w:customStyle="1" w:styleId="8">
    <w:name w:val="Normal New New New"/>
    <w:uiPriority w:val="0"/>
    <w:pPr>
      <w:jc w:val="both"/>
    </w:pPr>
    <w:rPr>
      <w:rFonts w:ascii="Times New Roman" w:hAnsi="Times New Roman" w:eastAsia="宋体" w:cs="Times New Roman"/>
      <w:kern w:val="2"/>
      <w:sz w:val="21"/>
    </w:rPr>
  </w:style>
  <w:style w:type="paragraph" w:customStyle="1" w:styleId="9">
    <w:name w:val="Normal New New"/>
    <w:uiPriority w:val="0"/>
    <w:pPr>
      <w:jc w:val="both"/>
    </w:pPr>
    <w:rPr>
      <w:rFonts w:ascii="Times New Roman" w:hAnsi="Times New Roman" w:eastAsia="宋体" w:cs="Times New Roman"/>
      <w:kern w:val="2"/>
      <w:sz w:val="21"/>
    </w:rPr>
  </w:style>
  <w:style w:type="paragraph" w:customStyle="1" w:styleId="10">
    <w:name w:val="Normal New"/>
    <w:uiPriority w:val="0"/>
    <w:pPr>
      <w:jc w:val="both"/>
    </w:pPr>
    <w:rPr>
      <w:rFonts w:ascii="Times New Roman" w:hAnsi="Times New Roman" w:eastAsia="宋体" w:cs="Times New Roman"/>
      <w:kern w:val="2"/>
      <w:sz w:val="21"/>
    </w:rPr>
  </w:style>
  <w:style w:type="paragraph" w:customStyle="1" w:styleId="11">
    <w:name w:val="Normal New New New New New New"/>
    <w:uiPriority w:val="0"/>
    <w:pPr>
      <w:jc w:val="both"/>
    </w:pPr>
    <w:rPr>
      <w:rFonts w:ascii="Times New Roman" w:hAnsi="Times New Roman" w:eastAsia="宋体" w:cs="Times New Roman"/>
      <w:kern w:val="2"/>
      <w:sz w:val="21"/>
    </w:rPr>
  </w:style>
  <w:style w:type="paragraph" w:customStyle="1" w:styleId="12">
    <w:name w:val="正文 New New New"/>
    <w:uiPriority w:val="0"/>
    <w:pPr>
      <w:widowControl w:val="0"/>
      <w:jc w:val="both"/>
    </w:pPr>
    <w:rPr>
      <w:rFonts w:ascii="Times New Roman" w:hAnsi="Times New Roman" w:eastAsia="宋体" w:cs="Times New Roman"/>
      <w:kern w:val="2"/>
      <w:sz w:val="21"/>
      <w:szCs w:val="24"/>
      <w:lang w:val="en-US" w:eastAsia="zh-CN"/>
    </w:rPr>
  </w:style>
  <w:style w:type="paragraph" w:customStyle="1" w:styleId="13">
    <w:name w:val="正文 New New New New New"/>
    <w:uiPriority w:val="0"/>
    <w:pPr>
      <w:widowControl w:val="0"/>
      <w:jc w:val="both"/>
    </w:pPr>
    <w:rPr>
      <w:rFonts w:ascii="Times New Roman" w:hAnsi="Times New Roman" w:eastAsia="宋体" w:cs="Times New Roman"/>
      <w:kern w:val="2"/>
      <w:sz w:val="21"/>
      <w:szCs w:val="24"/>
      <w:lang w:val="en-US" w:eastAsia="zh-CN"/>
    </w:rPr>
  </w:style>
  <w:style w:type="paragraph" w:customStyle="1" w:styleId="14">
    <w:name w:val="正文 New New"/>
    <w:uiPriority w:val="0"/>
    <w:pPr>
      <w:widowControl w:val="0"/>
      <w:jc w:val="both"/>
    </w:pPr>
    <w:rPr>
      <w:rFonts w:ascii="Times New Roman" w:hAnsi="Times New Roman" w:eastAsia="宋体" w:cs="Times New Roman"/>
      <w:kern w:val="2"/>
      <w:sz w:val="21"/>
      <w:szCs w:val="24"/>
      <w:lang w:val="en-US" w:eastAsia="zh-CN"/>
    </w:rPr>
  </w:style>
  <w:style w:type="paragraph" w:customStyle="1" w:styleId="15">
    <w:name w:val="正文 New"/>
    <w:uiPriority w:val="0"/>
    <w:pPr>
      <w:widowControl w:val="0"/>
      <w:jc w:val="both"/>
    </w:pPr>
    <w:rPr>
      <w:rFonts w:ascii="Times New Roman" w:hAnsi="Times New Roman" w:eastAsia="宋体" w:cs="Times New Roman"/>
      <w:kern w:val="2"/>
      <w:sz w:val="21"/>
      <w:szCs w:val="24"/>
      <w:lang w:val="en-US" w:eastAsia="zh-CN"/>
    </w:rPr>
  </w:style>
  <w:style w:type="paragraph" w:customStyle="1" w:styleId="16">
    <w:name w:val="正文 New New New New New New"/>
    <w:uiPriority w:val="0"/>
    <w:pPr>
      <w:widowControl w:val="0"/>
      <w:jc w:val="both"/>
    </w:pPr>
    <w:rPr>
      <w:rFonts w:ascii="Times New Roman" w:hAnsi="Times New Roman" w:eastAsia="宋体" w:cs="Times New Roman"/>
      <w:kern w:val="2"/>
      <w:sz w:val="21"/>
      <w:szCs w:val="24"/>
      <w:lang w:val="en-US" w:eastAsia="zh-CN"/>
    </w:rPr>
  </w:style>
  <w:style w:type="paragraph" w:customStyle="1" w:styleId="17">
    <w:name w:val="Normal New New New New New"/>
    <w:uiPriority w:val="0"/>
    <w:pPr>
      <w:jc w:val="both"/>
    </w:pPr>
    <w:rPr>
      <w:rFonts w:ascii="Times New Roman" w:hAnsi="Times New Roman" w:eastAsia="宋体" w:cs="Times New Roman"/>
      <w:kern w:val="2"/>
      <w:sz w:val="21"/>
    </w:rPr>
  </w:style>
  <w:style w:type="paragraph" w:customStyle="1" w:styleId="18">
    <w:name w:val="Normal"/>
    <w:qFormat/>
    <w:uiPriority w:val="0"/>
    <w:pPr>
      <w:jc w:val="both"/>
    </w:pPr>
    <w:rPr>
      <w:rFonts w:ascii="Times New Roman" w:hAnsi="Times New Roman" w:eastAsia="宋体" w:cs="Times New Roman"/>
      <w:kern w:val="2"/>
      <w:sz w:val="21"/>
    </w:rPr>
  </w:style>
  <w:style w:type="paragraph" w:customStyle="1" w:styleId="19">
    <w:name w:val="正文 New New New New New New New"/>
    <w:uiPriority w:val="0"/>
    <w:pPr>
      <w:widowControl w:val="0"/>
      <w:jc w:val="both"/>
    </w:pPr>
    <w:rPr>
      <w:rFonts w:ascii="Times New Roman" w:hAnsi="Times New Roman"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20(x86)\Kingsoft\WPS%20Office\12.1.0.16929\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6</Pages>
  <Words>2136</Words>
  <Characters>2308</Characters>
  <Lines>0</Lines>
  <Paragraphs>0</Paragraphs>
  <TotalTime>106</TotalTime>
  <ScaleCrop>false</ScaleCrop>
  <LinksUpToDate>false</LinksUpToDate>
  <CharactersWithSpaces>2351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2011-09-13T11:13:00Z</dcterms:created>
  <dc:creator>Tian</dc:creator>
  <cp:lastModifiedBy>Sum</cp:lastModifiedBy>
  <cp:lastPrinted>2019-07-01T00:12:00Z</cp:lastPrinted>
  <dcterms:modified xsi:type="dcterms:W3CDTF">2025-05-19T01:45:14Z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B4253848F909460F861C8B0A2CE9D099_13</vt:lpwstr>
  </property>
  <property fmtid="{D5CDD505-2E9C-101B-9397-08002B2CF9AE}" pid="4" name="KSOTemplateDocerSaveRecord">
    <vt:lpwstr>eyJoZGlkIjoiOGE5MGQyODJjNmQ3OThlZThiNDA3NmRmMzIzY2RjYjMiLCJ1c2VySWQiOiIyNTUyMDM1NjMifQ==</vt:lpwstr>
  </property>
</Properties>
</file>