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hanging="98"/>
        <w:jc w:val="distribute"/>
        <w:rPr>
          <w:rFonts w:hint="eastAsia" w:eastAsia="仿宋_GB2312"/>
          <w:b w:val="0"/>
          <w:bCs/>
          <w:color w:val="FF0000"/>
          <w:spacing w:val="20"/>
          <w:sz w:val="84"/>
          <w:szCs w:val="84"/>
        </w:rPr>
      </w:pPr>
      <w:r>
        <w:rPr>
          <w:rFonts w:hint="eastAsia" w:eastAsia="仿宋_GB2312"/>
          <w:b w:val="0"/>
          <w:bCs/>
          <w:color w:val="FF0000"/>
          <w:sz w:val="84"/>
          <w:szCs w:val="84"/>
          <w:lang w:val="zh-CN" w:eastAsia="zh-CN"/>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715010</wp:posOffset>
                </wp:positionV>
                <wp:extent cx="5706745" cy="0"/>
                <wp:effectExtent l="0" t="28575" r="8255" b="28575"/>
                <wp:wrapNone/>
                <wp:docPr id="1" name="直线 4"/>
                <wp:cNvGraphicFramePr/>
                <a:graphic xmlns:a="http://schemas.openxmlformats.org/drawingml/2006/main">
                  <a:graphicData uri="http://schemas.microsoft.com/office/word/2010/wordprocessingShape">
                    <wps:wsp>
                      <wps:cNvCnPr/>
                      <wps:spPr>
                        <a:xfrm>
                          <a:off x="0" y="0"/>
                          <a:ext cx="5706745"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4.15pt;margin-top:56.3pt;height:0pt;width:449.35pt;z-index:251658240;mso-width-relative:page;mso-height-relative:page;" filled="f" stroked="t" coordsize="21600,21600" o:gfxdata="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nb&#10;6zHUAAAACgEAAA8AAAAAAAAAAQAgAAAAOAAAAGRycy9kb3ducmV2LnhtbFBLAQIUABQAAAAIAIdO&#10;4kBA5NOk2AEAAKIDAAAOAAAAAAAAAAEAIAAAADkBAABkcnMvZTJvRG9jLnhtbFBLBQYAAAAABgAG&#10;AFkBAACDBQAAA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val="0"/>
          <w:bCs/>
          <w:color w:val="FF0000"/>
          <w:spacing w:val="20"/>
          <w:sz w:val="72"/>
          <w:szCs w:val="72"/>
        </w:rPr>
        <w:t>始兴县发展和改革局</w:t>
      </w:r>
    </w:p>
    <w:p>
      <w:pPr>
        <w:pStyle w:val="8"/>
        <w:keepNext w:val="0"/>
        <w:keepLines w:val="0"/>
        <w:pageBreakBefore w:val="0"/>
        <w:widowControl/>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方正小标宋简体" w:eastAsia="方正小标宋简体"/>
          <w:spacing w:val="-5"/>
          <w:sz w:val="44"/>
          <w:szCs w:val="44"/>
        </w:rPr>
      </w:pPr>
      <w:r>
        <w:rPr>
          <w:rFonts w:hint="eastAsia" w:ascii="方正小标宋简体" w:eastAsia="方正小标宋简体"/>
          <w:spacing w:val="-5"/>
          <w:sz w:val="44"/>
          <w:szCs w:val="44"/>
        </w:rPr>
        <w:t>关于《始兴县碧桂园三个小区（翡翠山、丹凤府、</w:t>
      </w:r>
    </w:p>
    <w:p>
      <w:pPr>
        <w:pStyle w:val="8"/>
        <w:keepNext w:val="0"/>
        <w:keepLines w:val="0"/>
        <w:pageBreakBefore w:val="0"/>
        <w:widowControl/>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方正小标宋简体" w:eastAsia="方正小标宋简体"/>
          <w:spacing w:val="-5"/>
          <w:sz w:val="44"/>
          <w:szCs w:val="44"/>
        </w:rPr>
      </w:pPr>
      <w:r>
        <w:rPr>
          <w:rFonts w:hint="eastAsia" w:ascii="方正小标宋简体" w:eastAsia="方正小标宋简体"/>
          <w:spacing w:val="-5"/>
          <w:sz w:val="44"/>
          <w:szCs w:val="44"/>
        </w:rPr>
        <w:t>天樾湾）前期物业服务收费标准方案</w:t>
      </w:r>
    </w:p>
    <w:p>
      <w:pPr>
        <w:pStyle w:val="8"/>
        <w:keepNext w:val="0"/>
        <w:keepLines w:val="0"/>
        <w:pageBreakBefore w:val="0"/>
        <w:widowControl/>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仿宋_GB2312" w:eastAsia="仿宋_GB2312"/>
          <w:b/>
          <w:bCs/>
          <w:spacing w:val="-5"/>
          <w:sz w:val="32"/>
          <w:szCs w:val="32"/>
        </w:rPr>
      </w:pPr>
      <w:r>
        <w:rPr>
          <w:rFonts w:hint="eastAsia" w:ascii="方正小标宋简体" w:eastAsia="方正小标宋简体"/>
          <w:spacing w:val="-5"/>
          <w:sz w:val="44"/>
          <w:szCs w:val="44"/>
        </w:rPr>
        <w:t>（征求意见稿）》的解读说明</w:t>
      </w:r>
    </w:p>
    <w:p>
      <w:pPr>
        <w:pStyle w:val="9"/>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eastAsia="仿宋_GB2312"/>
          <w:spacing w:val="-5"/>
          <w:sz w:val="32"/>
          <w:szCs w:val="32"/>
        </w:rPr>
      </w:pP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rPr>
      </w:pPr>
      <w:r>
        <w:rPr>
          <w:rFonts w:hint="eastAsia" w:ascii="Times New Roman" w:hAnsi="Times New Roman" w:eastAsia="方正仿宋简体"/>
          <w:spacing w:val="-6"/>
          <w:sz w:val="32"/>
          <w:szCs w:val="32"/>
          <w:lang w:eastAsia="zh-CN"/>
        </w:rPr>
        <w:t>为便于广大业主和社会公众更好地理解《始兴县碧桂园三个小区（翡翠山、丹凤府、天樾湾）前期物业服务收费标准方案（征求意见稿）》（以下简称《方案（征求意见稿）》）的内容和制定背景，现就有关情况解读说明如下</w:t>
      </w:r>
      <w:r>
        <w:rPr>
          <w:rFonts w:hint="eastAsia" w:ascii="Times New Roman" w:hAnsi="Times New Roman" w:eastAsia="方正仿宋简体"/>
          <w:spacing w:val="-6"/>
          <w:sz w:val="32"/>
          <w:szCs w:val="32"/>
        </w:rPr>
        <w:t>：</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一、制定背景与必要性</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始兴县碧桂园翡翠山、丹凤府、天樾湾三个小区目前均未成立业主大会，其前期物业服务收费属于政府指导价管理范畴。其中，翡翠山小区原收费标准试行期已满六年，需重新核定；丹凤府、天樾湾为新建小区，需首次制定前期物业服务收费标准。为规范物业服务收费行为，保障业主和物业服务企业的合法权益，始兴县发展和改革局根据相关规定对该三个小区物业服务成本进行审核，以小区实际情况为基本依据，参考周边地区收费水平，拟定了本《方案（征求意见稿）》。</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二、主要政策依据</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1.</w:t>
      </w:r>
      <w:r>
        <w:rPr>
          <w:rFonts w:hint="eastAsia" w:ascii="Times New Roman" w:hAnsi="Times New Roman" w:eastAsia="方正仿宋简体"/>
          <w:spacing w:val="-6"/>
          <w:sz w:val="32"/>
          <w:szCs w:val="32"/>
          <w:lang w:eastAsia="zh-CN"/>
        </w:rPr>
        <w:t>《广东省定价目录（2022年版）》（粤府办〔2022〕5号）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2.</w:t>
      </w:r>
      <w:r>
        <w:rPr>
          <w:rFonts w:hint="eastAsia" w:ascii="Times New Roman" w:hAnsi="Times New Roman" w:eastAsia="方正仿宋简体"/>
          <w:spacing w:val="-6"/>
          <w:sz w:val="32"/>
          <w:szCs w:val="32"/>
          <w:lang w:eastAsia="zh-CN"/>
        </w:rPr>
        <w:t>《广东省发展改革委关于印发政府制定价格行为规则的实施细则（2024年修订）的通知》（粤发改规〔2024〕3号）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3.</w:t>
      </w:r>
      <w:r>
        <w:rPr>
          <w:rFonts w:hint="eastAsia" w:ascii="Times New Roman" w:hAnsi="Times New Roman" w:eastAsia="方正仿宋简体"/>
          <w:spacing w:val="-6"/>
          <w:sz w:val="32"/>
          <w:szCs w:val="32"/>
          <w:lang w:eastAsia="zh-CN"/>
        </w:rPr>
        <w:t>《韶关市物业服务收费管理实施细则》（韶发改联〔2020〕23号）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4.</w:t>
      </w:r>
      <w:r>
        <w:rPr>
          <w:rFonts w:hint="eastAsia" w:ascii="Times New Roman" w:hAnsi="Times New Roman" w:eastAsia="方正仿宋简体"/>
          <w:spacing w:val="-6"/>
          <w:sz w:val="32"/>
          <w:szCs w:val="32"/>
          <w:lang w:eastAsia="zh-CN"/>
        </w:rPr>
        <w:t>《物业服务定价成本监审办法（试行）》（发改价格〔2007〕2285号）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5.</w:t>
      </w:r>
      <w:r>
        <w:rPr>
          <w:rFonts w:hint="eastAsia" w:ascii="Times New Roman" w:hAnsi="Times New Roman" w:eastAsia="方正仿宋简体"/>
          <w:spacing w:val="-6"/>
          <w:sz w:val="32"/>
          <w:szCs w:val="32"/>
          <w:lang w:eastAsia="zh-CN"/>
        </w:rPr>
        <w:t>《韶关市发展和改革局韶关市住房和城乡建设管理局关于调整市区物业服务收费标准的通知》（韶发改联〔2021〕19号）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6.</w:t>
      </w:r>
      <w:r>
        <w:rPr>
          <w:rFonts w:hint="eastAsia" w:ascii="Times New Roman" w:hAnsi="Times New Roman" w:eastAsia="方正仿宋简体"/>
          <w:spacing w:val="-6"/>
          <w:sz w:val="32"/>
          <w:szCs w:val="32"/>
          <w:lang w:eastAsia="zh-CN"/>
        </w:rPr>
        <w:t>《关于编制印发&lt;韶关市物业服务等级标准&gt;的通知》（韶物协〔2021〕15号）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三、制定过程</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县发展和改革局严格按照政府制定价格程序开展工作：</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1.</w:t>
      </w:r>
      <w:r>
        <w:rPr>
          <w:rFonts w:hint="eastAsia" w:ascii="Times New Roman" w:hAnsi="Times New Roman" w:eastAsia="方正仿宋简体"/>
          <w:spacing w:val="-6"/>
          <w:sz w:val="32"/>
          <w:szCs w:val="32"/>
          <w:lang w:eastAsia="zh-CN"/>
        </w:rPr>
        <w:t>受理申请：依法受理了碧桂园生活服务集团股份有限公司韶关始兴分公司的收费申请。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2.</w:t>
      </w:r>
      <w:r>
        <w:rPr>
          <w:rFonts w:hint="eastAsia" w:ascii="Times New Roman" w:hAnsi="Times New Roman" w:eastAsia="方正仿宋简体"/>
          <w:spacing w:val="-6"/>
          <w:sz w:val="32"/>
          <w:szCs w:val="32"/>
          <w:lang w:eastAsia="zh-CN"/>
        </w:rPr>
        <w:t>成本审核：对该公司提交的翡翠山小区近三年（2021-2023年）物业服务成本审计报告，以及丹凤府、天樾湾小区的物业服务成本预测审核报告进行了审核核定。</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3.</w:t>
      </w:r>
      <w:r>
        <w:rPr>
          <w:rFonts w:hint="eastAsia" w:ascii="Times New Roman" w:hAnsi="Times New Roman" w:eastAsia="方正仿宋简体"/>
          <w:spacing w:val="-6"/>
          <w:sz w:val="32"/>
          <w:szCs w:val="32"/>
          <w:lang w:eastAsia="zh-CN"/>
        </w:rPr>
        <w:t>参考比价：调查了解了周边县（市、区）及本县类似住宅小区的物业服务收费水平。</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val="en-US" w:eastAsia="zh-CN"/>
        </w:rPr>
        <w:t>4.</w:t>
      </w:r>
      <w:r>
        <w:rPr>
          <w:rFonts w:hint="eastAsia" w:ascii="Times New Roman" w:hAnsi="Times New Roman" w:eastAsia="方正仿宋简体"/>
          <w:spacing w:val="-6"/>
          <w:sz w:val="32"/>
          <w:szCs w:val="32"/>
          <w:lang w:eastAsia="zh-CN"/>
        </w:rPr>
        <w:t>拟定方案：在成本审核、参考周边价格水平、综合考虑小区居住环境及拟提供服务标准的基础上，拟定了本次收费方案。</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黑体简体" w:hAnsi="方正黑体简体" w:eastAsia="方正黑体简体" w:cs="方正黑体简体"/>
          <w:spacing w:val="-6"/>
          <w:sz w:val="32"/>
          <w:szCs w:val="32"/>
          <w:lang w:eastAsia="zh-CN"/>
        </w:rPr>
      </w:pPr>
      <w:r>
        <w:rPr>
          <w:rFonts w:hint="eastAsia" w:ascii="方正黑体简体" w:hAnsi="方正黑体简体" w:eastAsia="方正黑体简体" w:cs="方正黑体简体"/>
          <w:spacing w:val="-6"/>
          <w:sz w:val="32"/>
          <w:szCs w:val="32"/>
          <w:lang w:eastAsia="zh-CN"/>
        </w:rPr>
        <w:t>四、方案主要内容解读</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楷体简体" w:hAnsi="方正楷体简体" w:eastAsia="方正楷体简体" w:cs="方正楷体简体"/>
          <w:spacing w:val="-6"/>
          <w:sz w:val="32"/>
          <w:szCs w:val="32"/>
          <w:lang w:eastAsia="zh-CN"/>
        </w:rPr>
      </w:pPr>
      <w:r>
        <w:rPr>
          <w:rFonts w:hint="eastAsia" w:ascii="方正楷体简体" w:hAnsi="方正楷体简体" w:eastAsia="方正楷体简体" w:cs="方正楷体简体"/>
          <w:spacing w:val="-6"/>
          <w:sz w:val="32"/>
          <w:szCs w:val="32"/>
          <w:lang w:val="en-US" w:eastAsia="zh-CN"/>
        </w:rPr>
        <w:t>（一）</w:t>
      </w:r>
      <w:r>
        <w:rPr>
          <w:rFonts w:hint="eastAsia" w:ascii="方正楷体简体" w:hAnsi="方正楷体简体" w:eastAsia="方正楷体简体" w:cs="方正楷体简体"/>
          <w:spacing w:val="-6"/>
          <w:sz w:val="32"/>
          <w:szCs w:val="32"/>
          <w:lang w:eastAsia="zh-CN"/>
        </w:rPr>
        <w:t>收费标准</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普通住宅（带电梯）：翡翠山、丹凤府、天樾湾三个小区均拟按建筑面积1.80元/月·平方米收取。</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车位物业服务费：业主自有产权车位拟按40元/车位·月收取。</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费用包含：上述收费标准已包含物业区域内绿化养护、清洁卫生、设备设施日常维护及公用水电等费用，不再另行向业主分摊公用水电费。</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商铺收费：实行市场调节价，由物业服务企业与业主协商确定。</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楷体简体" w:hAnsi="方正楷体简体" w:eastAsia="方正楷体简体" w:cs="方正楷体简体"/>
          <w:spacing w:val="-6"/>
          <w:sz w:val="32"/>
          <w:szCs w:val="32"/>
          <w:lang w:val="en-US" w:eastAsia="zh-CN"/>
        </w:rPr>
      </w:pPr>
      <w:r>
        <w:rPr>
          <w:rFonts w:hint="eastAsia" w:ascii="方正楷体简体" w:hAnsi="方正楷体简体" w:eastAsia="方正楷体简体" w:cs="方正楷体简体"/>
          <w:spacing w:val="-6"/>
          <w:sz w:val="32"/>
          <w:szCs w:val="32"/>
          <w:lang w:val="en-US" w:eastAsia="zh-CN"/>
        </w:rPr>
        <w:t>（二）制定理由</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成本依据：根据第三方机构出具的成本审核（预测）报告，核定三个小区的物业服务定价单位成本均接近或达到1.70元/平方米·月，且物业服务企业社会利润普遍在</w:t>
      </w:r>
      <w:r>
        <w:rPr>
          <w:rFonts w:hint="eastAsia" w:ascii="Times New Roman" w:hAnsi="Times New Roman" w:eastAsia="方正仿宋简体"/>
          <w:spacing w:val="-6"/>
          <w:sz w:val="32"/>
          <w:szCs w:val="32"/>
          <w:lang w:val="en-US" w:eastAsia="zh-CN"/>
        </w:rPr>
        <w:t>5%-15%之间</w:t>
      </w:r>
      <w:r>
        <w:rPr>
          <w:rFonts w:hint="eastAsia" w:ascii="Times New Roman" w:hAnsi="Times New Roman" w:eastAsia="方正仿宋简体"/>
          <w:spacing w:val="-6"/>
          <w:sz w:val="32"/>
          <w:szCs w:val="32"/>
          <w:lang w:eastAsia="zh-CN"/>
        </w:rPr>
        <w:t>，拟定收费标准为1.80元/平方米·月。</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服务质量：物业服务企业承诺提供的服务内容不低于《韶关市物业服务等级标准》规定的一级服务标准。</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横向比较：拟定的收费标准与周边县（市、区）同类品质小区的前期物业收费水平基本相当。</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政策允许：根据《韶关市物业服务收费管理实施细则》，提供合规成本审核相关报告后，收费标准可按规定程序申请超过原政府指导价水平。</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楷体简体" w:hAnsi="方正楷体简体" w:eastAsia="方正楷体简体" w:cs="方正楷体简体"/>
          <w:spacing w:val="-6"/>
          <w:sz w:val="32"/>
          <w:szCs w:val="32"/>
          <w:lang w:val="en-US" w:eastAsia="zh-CN"/>
        </w:rPr>
      </w:pPr>
      <w:r>
        <w:rPr>
          <w:rFonts w:hint="eastAsia" w:ascii="方正楷体简体" w:hAnsi="方正楷体简体" w:eastAsia="方正楷体简体" w:cs="方正楷体简体"/>
          <w:spacing w:val="-6"/>
          <w:sz w:val="32"/>
          <w:szCs w:val="32"/>
          <w:lang w:val="en-US" w:eastAsia="zh-CN"/>
        </w:rPr>
        <w:t>（三）执行时间</w:t>
      </w:r>
      <w:bookmarkStart w:id="0" w:name="_GoBack"/>
      <w:bookmarkEnd w:id="0"/>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拟自2025年1月1日（具体按物业交付时间）起执行。执行期间如遇上级新政策，按新规定执行。业主大会成立后，收费将实行市场调节价。</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方正楷体简体" w:hAnsi="方正楷体简体" w:eastAsia="方正楷体简体" w:cs="方正楷体简体"/>
          <w:spacing w:val="-6"/>
          <w:sz w:val="32"/>
          <w:szCs w:val="32"/>
          <w:lang w:val="en-US" w:eastAsia="zh-CN"/>
        </w:rPr>
      </w:pPr>
      <w:r>
        <w:rPr>
          <w:rFonts w:hint="eastAsia" w:ascii="方正楷体简体" w:hAnsi="方正楷体简体" w:eastAsia="方正楷体简体" w:cs="方正楷体简体"/>
          <w:spacing w:val="-6"/>
          <w:sz w:val="32"/>
          <w:szCs w:val="32"/>
          <w:lang w:val="en-US" w:eastAsia="zh-CN"/>
        </w:rPr>
        <w:t>（四）相关要求</w:t>
      </w:r>
    </w:p>
    <w:p>
      <w:pPr>
        <w:pStyle w:val="9"/>
        <w:keepNext w:val="0"/>
        <w:keepLines w:val="0"/>
        <w:pageBreakBefore w:val="0"/>
        <w:widowControl/>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Times New Roman" w:hAnsi="Times New Roman" w:eastAsia="方正仿宋简体"/>
          <w:spacing w:val="-6"/>
          <w:sz w:val="32"/>
          <w:szCs w:val="32"/>
          <w:lang w:eastAsia="zh-CN"/>
        </w:rPr>
      </w:pPr>
      <w:r>
        <w:rPr>
          <w:rFonts w:hint="eastAsia" w:ascii="Times New Roman" w:hAnsi="Times New Roman" w:eastAsia="方正仿宋简体"/>
          <w:spacing w:val="-6"/>
          <w:sz w:val="32"/>
          <w:szCs w:val="32"/>
          <w:lang w:eastAsia="zh-CN"/>
        </w:rPr>
        <w:t>要求物业服务企业必须按承诺的服务标准提供质价相符的服务，做好收费明码标价和政策解释工作，并接受业主和相关部门监督。</w:t>
      </w:r>
    </w:p>
    <w:p>
      <w:pPr>
        <w:keepNext w:val="0"/>
        <w:keepLines w:val="0"/>
        <w:pageBreakBefore w:val="0"/>
        <w:widowControl/>
        <w:kinsoku/>
        <w:wordWrap/>
        <w:overflowPunct/>
        <w:topLinePunct w:val="0"/>
        <w:autoSpaceDE/>
        <w:autoSpaceDN/>
        <w:bidi w:val="0"/>
        <w:adjustRightInd/>
        <w:snapToGrid/>
        <w:spacing w:line="570" w:lineRule="exact"/>
        <w:ind w:right="0" w:rightChars="0"/>
        <w:jc w:val="left"/>
        <w:textAlignment w:val="auto"/>
        <w:outlineLvl w:val="9"/>
        <w:rPr>
          <w:rFonts w:hint="eastAsia" w:ascii="Times New Roman" w:hAnsi="Times New Roman" w:eastAsia="方正仿宋简体" w:cs="宋体"/>
          <w:spacing w:val="-6"/>
          <w:kern w:val="0"/>
          <w:sz w:val="32"/>
          <w:szCs w:val="32"/>
        </w:rPr>
      </w:pPr>
    </w:p>
    <w:p>
      <w:pPr>
        <w:keepNext w:val="0"/>
        <w:keepLines w:val="0"/>
        <w:pageBreakBefore w:val="0"/>
        <w:widowControl/>
        <w:kinsoku/>
        <w:wordWrap/>
        <w:overflowPunct/>
        <w:topLinePunct w:val="0"/>
        <w:autoSpaceDE/>
        <w:autoSpaceDN/>
        <w:bidi w:val="0"/>
        <w:adjustRightInd/>
        <w:snapToGrid/>
        <w:spacing w:line="570" w:lineRule="exact"/>
        <w:ind w:right="0" w:rightChars="0"/>
        <w:jc w:val="left"/>
        <w:textAlignment w:val="auto"/>
        <w:outlineLvl w:val="9"/>
        <w:rPr>
          <w:rFonts w:hint="eastAsia" w:ascii="Times New Roman" w:hAnsi="Times New Roman" w:eastAsia="方正仿宋简体" w:cs="宋体"/>
          <w:spacing w:val="-6"/>
          <w:kern w:val="0"/>
          <w:sz w:val="32"/>
          <w:szCs w:val="32"/>
        </w:rPr>
      </w:pPr>
    </w:p>
    <w:p>
      <w:pPr>
        <w:keepNext w:val="0"/>
        <w:keepLines w:val="0"/>
        <w:pageBreakBefore w:val="0"/>
        <w:widowControl/>
        <w:kinsoku/>
        <w:wordWrap w:val="0"/>
        <w:overflowPunct/>
        <w:topLinePunct w:val="0"/>
        <w:autoSpaceDE/>
        <w:autoSpaceDN/>
        <w:bidi w:val="0"/>
        <w:adjustRightInd/>
        <w:snapToGrid/>
        <w:spacing w:line="570" w:lineRule="exact"/>
        <w:ind w:right="0" w:rightChars="0"/>
        <w:jc w:val="right"/>
        <w:textAlignment w:val="auto"/>
        <w:outlineLvl w:val="9"/>
        <w:rPr>
          <w:rFonts w:hint="default" w:ascii="Times New Roman" w:hAnsi="Times New Roman" w:eastAsia="方正仿宋简体" w:cs="宋体"/>
          <w:spacing w:val="-6"/>
          <w:kern w:val="0"/>
          <w:sz w:val="32"/>
          <w:szCs w:val="32"/>
          <w:lang w:val="en-US" w:eastAsia="zh-CN"/>
        </w:rPr>
      </w:pPr>
      <w:r>
        <w:rPr>
          <w:rFonts w:hint="eastAsia" w:ascii="Times New Roman" w:hAnsi="Times New Roman" w:eastAsia="方正仿宋简体" w:cs="宋体"/>
          <w:spacing w:val="-6"/>
          <w:kern w:val="0"/>
          <w:sz w:val="32"/>
          <w:szCs w:val="32"/>
        </w:rPr>
        <w:t>始兴县发展和改革局</w:t>
      </w:r>
      <w:r>
        <w:rPr>
          <w:rFonts w:hint="eastAsia" w:ascii="Times New Roman" w:hAnsi="Times New Roman" w:eastAsia="方正仿宋简体" w:cs="宋体"/>
          <w:spacing w:val="-6"/>
          <w:kern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70" w:lineRule="exact"/>
        <w:ind w:left="5107" w:leftChars="2432" w:right="0" w:rightChars="0" w:firstLine="154" w:firstLineChars="50"/>
        <w:jc w:val="right"/>
        <w:textAlignment w:val="auto"/>
        <w:outlineLvl w:val="9"/>
        <w:rPr>
          <w:rFonts w:hint="default" w:ascii="Times New Roman" w:hAnsi="Times New Roman" w:eastAsia="方正仿宋简体"/>
          <w:spacing w:val="-6"/>
          <w:lang w:val="en-US" w:eastAsia="zh-CN"/>
        </w:rPr>
      </w:pPr>
      <w:r>
        <w:rPr>
          <w:rFonts w:hint="eastAsia" w:ascii="Times New Roman" w:hAnsi="Times New Roman" w:eastAsia="方正仿宋简体" w:cs="宋体"/>
          <w:spacing w:val="-6"/>
          <w:kern w:val="0"/>
          <w:sz w:val="32"/>
          <w:szCs w:val="32"/>
        </w:rPr>
        <w:t>202</w:t>
      </w:r>
      <w:r>
        <w:rPr>
          <w:rFonts w:hint="eastAsia" w:ascii="Times New Roman" w:hAnsi="Times New Roman" w:eastAsia="方正仿宋简体" w:cs="宋体"/>
          <w:spacing w:val="-6"/>
          <w:kern w:val="0"/>
          <w:sz w:val="32"/>
          <w:szCs w:val="32"/>
          <w:lang w:val="en-US" w:eastAsia="zh-CN"/>
        </w:rPr>
        <w:t>6</w:t>
      </w:r>
      <w:r>
        <w:rPr>
          <w:rFonts w:hint="eastAsia" w:ascii="Times New Roman" w:hAnsi="Times New Roman" w:eastAsia="方正仿宋简体" w:cs="宋体"/>
          <w:spacing w:val="-6"/>
          <w:kern w:val="0"/>
          <w:sz w:val="32"/>
          <w:szCs w:val="32"/>
        </w:rPr>
        <w:t>年</w:t>
      </w:r>
      <w:r>
        <w:rPr>
          <w:rFonts w:hint="eastAsia" w:ascii="Times New Roman" w:hAnsi="Times New Roman" w:eastAsia="方正仿宋简体" w:cs="宋体"/>
          <w:spacing w:val="-6"/>
          <w:kern w:val="0"/>
          <w:sz w:val="32"/>
          <w:szCs w:val="32"/>
          <w:lang w:val="en-US" w:eastAsia="zh-CN"/>
        </w:rPr>
        <w:t>1</w:t>
      </w:r>
      <w:r>
        <w:rPr>
          <w:rFonts w:hint="eastAsia" w:ascii="Times New Roman" w:hAnsi="Times New Roman" w:eastAsia="方正仿宋简体" w:cs="宋体"/>
          <w:spacing w:val="-6"/>
          <w:kern w:val="0"/>
          <w:sz w:val="32"/>
          <w:szCs w:val="32"/>
        </w:rPr>
        <w:t>月</w:t>
      </w:r>
      <w:r>
        <w:rPr>
          <w:rFonts w:hint="eastAsia" w:ascii="Times New Roman" w:hAnsi="Times New Roman" w:eastAsia="方正仿宋简体" w:cs="宋体"/>
          <w:spacing w:val="-6"/>
          <w:kern w:val="0"/>
          <w:sz w:val="32"/>
          <w:szCs w:val="32"/>
          <w:lang w:val="en-US" w:eastAsia="zh-CN"/>
        </w:rPr>
        <w:t>15</w:t>
      </w:r>
      <w:r>
        <w:rPr>
          <w:rFonts w:hint="eastAsia" w:ascii="Times New Roman" w:hAnsi="Times New Roman" w:eastAsia="方正仿宋简体" w:cs="宋体"/>
          <w:spacing w:val="-6"/>
          <w:kern w:val="0"/>
          <w:sz w:val="32"/>
          <w:szCs w:val="32"/>
        </w:rPr>
        <w:t>日</w:t>
      </w:r>
      <w:r>
        <w:rPr>
          <w:rFonts w:hint="eastAsia" w:ascii="Times New Roman" w:hAnsi="Times New Roman" w:eastAsia="方正仿宋简体" w:cs="宋体"/>
          <w:spacing w:val="-6"/>
          <w:kern w:val="0"/>
          <w:sz w:val="32"/>
          <w:szCs w:val="32"/>
          <w:lang w:val="en-US" w:eastAsia="zh-CN"/>
        </w:rPr>
        <w:t xml:space="preserve">        </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C3AD2"/>
    <w:rsid w:val="13C96385"/>
    <w:rsid w:val="1406725B"/>
    <w:rsid w:val="18D0625E"/>
    <w:rsid w:val="1EA133CD"/>
    <w:rsid w:val="235F2314"/>
    <w:rsid w:val="23E40828"/>
    <w:rsid w:val="25A7C90D"/>
    <w:rsid w:val="289E012C"/>
    <w:rsid w:val="2A8D3CF0"/>
    <w:rsid w:val="2FE32D3E"/>
    <w:rsid w:val="30B2513E"/>
    <w:rsid w:val="32393971"/>
    <w:rsid w:val="32422082"/>
    <w:rsid w:val="32F31EA6"/>
    <w:rsid w:val="398E7E60"/>
    <w:rsid w:val="42237B89"/>
    <w:rsid w:val="432F0FC0"/>
    <w:rsid w:val="45C65868"/>
    <w:rsid w:val="53490DAB"/>
    <w:rsid w:val="54110ACF"/>
    <w:rsid w:val="57CFEA96"/>
    <w:rsid w:val="599F584B"/>
    <w:rsid w:val="5BDE1252"/>
    <w:rsid w:val="5D7D062A"/>
    <w:rsid w:val="5E7908F6"/>
    <w:rsid w:val="5FFA12CB"/>
    <w:rsid w:val="68B50ADE"/>
    <w:rsid w:val="68E97779"/>
    <w:rsid w:val="6BDCCAA1"/>
    <w:rsid w:val="6C4F6376"/>
    <w:rsid w:val="6CFADDA0"/>
    <w:rsid w:val="6F5C3326"/>
    <w:rsid w:val="70EE6A45"/>
    <w:rsid w:val="7119668A"/>
    <w:rsid w:val="72F90E5B"/>
    <w:rsid w:val="76555C6F"/>
    <w:rsid w:val="76E653D1"/>
    <w:rsid w:val="777BD3FC"/>
    <w:rsid w:val="7AA33CC7"/>
    <w:rsid w:val="7AC9AAD1"/>
    <w:rsid w:val="7BFF0F73"/>
    <w:rsid w:val="7D68E7AB"/>
    <w:rsid w:val="7DAFC1FB"/>
    <w:rsid w:val="7DEC1966"/>
    <w:rsid w:val="7EFECD5B"/>
    <w:rsid w:val="7FDE1BC4"/>
    <w:rsid w:val="7FF592A4"/>
    <w:rsid w:val="A7FB9FDA"/>
    <w:rsid w:val="BDFFEA40"/>
    <w:rsid w:val="CD5F3877"/>
    <w:rsid w:val="EFFFD749"/>
    <w:rsid w:val="FAFFA84C"/>
    <w:rsid w:val="FE7F9DD8"/>
    <w:rsid w:val="FF3E9721"/>
    <w:rsid w:val="FF9E3C98"/>
    <w:rsid w:val="FFA66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15"/>
    <w:basedOn w:val="1"/>
    <w:qFormat/>
    <w:uiPriority w:val="0"/>
    <w:pPr>
      <w:widowControl/>
    </w:pPr>
    <w:rPr>
      <w:kern w:val="0"/>
      <w:szCs w:val="21"/>
    </w:rPr>
  </w:style>
  <w:style w:type="paragraph" w:customStyle="1" w:styleId="9">
    <w:name w:val="p0"/>
    <w:basedOn w:val="1"/>
    <w:qFormat/>
    <w:uiPriority w:val="0"/>
    <w:pPr>
      <w:widowControl/>
    </w:pPr>
    <w:rPr>
      <w:kern w:val="0"/>
      <w:szCs w:val="21"/>
    </w:rPr>
  </w:style>
  <w:style w:type="paragraph" w:customStyle="1" w:styleId="10">
    <w:name w:val="正文 New New New"/>
    <w:qFormat/>
    <w:uiPriority w:val="0"/>
    <w:pPr>
      <w:widowControl w:val="0"/>
      <w:jc w:val="both"/>
    </w:pPr>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250</Words>
  <Characters>264</Characters>
  <Lines>0</Lines>
  <Paragraphs>0</Paragraphs>
  <TotalTime>3</TotalTime>
  <ScaleCrop>false</ScaleCrop>
  <LinksUpToDate>false</LinksUpToDate>
  <CharactersWithSpaces>279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fg415</cp:lastModifiedBy>
  <cp:lastPrinted>2026-01-15T15:56:48Z</cp:lastPrinted>
  <dcterms:modified xsi:type="dcterms:W3CDTF">2026-01-15T16:23:40Z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