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hanging="98"/>
        <w:jc w:val="distribute"/>
        <w:rPr>
          <w:rFonts w:hint="eastAsia" w:eastAsia="仿宋_GB2312"/>
          <w:b w:val="0"/>
          <w:bCs/>
          <w:color w:val="FF0000"/>
          <w:spacing w:val="20"/>
          <w:sz w:val="84"/>
          <w:szCs w:val="84"/>
        </w:rPr>
      </w:pPr>
      <w:r>
        <w:rPr>
          <w:rFonts w:hint="eastAsia" w:eastAsia="仿宋_GB2312"/>
          <w:b w:val="0"/>
          <w:bCs/>
          <w:color w:val="FF0000"/>
          <w:sz w:val="84"/>
          <w:szCs w:val="84"/>
          <w:lang w:val="zh-CN" w:eastAsia="zh-CN"/>
        </w:rPr>
        <mc:AlternateContent>
          <mc:Choice Requires="wps">
            <w:drawing>
              <wp:anchor distT="0" distB="0" distL="114300" distR="114300" simplePos="0" relativeHeight="251658240" behindDoc="0" locked="0" layoutInCell="1" allowOverlap="1">
                <wp:simplePos x="0" y="0"/>
                <wp:positionH relativeFrom="column">
                  <wp:posOffset>-52705</wp:posOffset>
                </wp:positionH>
                <wp:positionV relativeFrom="paragraph">
                  <wp:posOffset>715010</wp:posOffset>
                </wp:positionV>
                <wp:extent cx="5706745" cy="0"/>
                <wp:effectExtent l="0" t="28575" r="8255" b="28575"/>
                <wp:wrapNone/>
                <wp:docPr id="1" name="直线 4"/>
                <wp:cNvGraphicFramePr/>
                <a:graphic xmlns:a="http://schemas.openxmlformats.org/drawingml/2006/main">
                  <a:graphicData uri="http://schemas.microsoft.com/office/word/2010/wordprocessingShape">
                    <wps:wsp>
                      <wps:cNvCnPr/>
                      <wps:spPr>
                        <a:xfrm>
                          <a:off x="0" y="0"/>
                          <a:ext cx="5706745"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4.15pt;margin-top:56.3pt;height:0pt;width:449.35pt;z-index:251658240;mso-width-relative:page;mso-height-relative:page;" filled="f" stroked="t" coordsize="21600,21600" o:gfxdata="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nb&#10;6zHUAAAACgEAAA8AAAAAAAAAAQAgAAAAOAAAAGRycy9kb3ducmV2LnhtbFBLAQIUABQAAAAIAIdO&#10;4kBA5NOk2AEAAKIDAAAOAAAAAAAAAAEAIAAAADkBAABkcnMvZTJvRG9jLnhtbFBLBQYAAAAABgAG&#10;AFkBAACDBQAAAAA=&#10;">
                <v:fill on="f" focussize="0,0"/>
                <v:stroke weight="4.5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b w:val="0"/>
          <w:bCs/>
          <w:color w:val="FF0000"/>
          <w:spacing w:val="20"/>
          <w:sz w:val="72"/>
          <w:szCs w:val="72"/>
        </w:rPr>
        <w:t>始兴县发展和改革局</w:t>
      </w:r>
    </w:p>
    <w:p>
      <w:pPr>
        <w:pStyle w:val="8"/>
        <w:keepNext w:val="0"/>
        <w:keepLines w:val="0"/>
        <w:pageBreakBefore w:val="0"/>
        <w:widowControl/>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方正小标宋简体" w:eastAsia="方正小标宋简体"/>
          <w:spacing w:val="-5"/>
          <w:sz w:val="44"/>
          <w:szCs w:val="44"/>
        </w:rPr>
      </w:pPr>
      <w:r>
        <w:rPr>
          <w:rFonts w:hint="eastAsia" w:ascii="方正小标宋简体" w:eastAsia="方正小标宋简体"/>
          <w:spacing w:val="-5"/>
          <w:sz w:val="44"/>
          <w:szCs w:val="44"/>
        </w:rPr>
        <w:t>关于《始兴县中洲壹号花园小区前期物业服务</w:t>
      </w:r>
    </w:p>
    <w:p>
      <w:pPr>
        <w:pStyle w:val="8"/>
        <w:keepNext w:val="0"/>
        <w:keepLines w:val="0"/>
        <w:pageBreakBefore w:val="0"/>
        <w:widowControl/>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方正小标宋简体" w:eastAsia="方正小标宋简体"/>
          <w:spacing w:val="-5"/>
          <w:sz w:val="44"/>
          <w:szCs w:val="44"/>
        </w:rPr>
      </w:pPr>
      <w:r>
        <w:rPr>
          <w:rFonts w:hint="eastAsia" w:ascii="方正小标宋简体" w:eastAsia="方正小标宋简体"/>
          <w:spacing w:val="-5"/>
          <w:sz w:val="44"/>
          <w:szCs w:val="44"/>
        </w:rPr>
        <w:t>收费标准方案（征求意见稿）》</w:t>
      </w:r>
    </w:p>
    <w:p>
      <w:pPr>
        <w:pStyle w:val="8"/>
        <w:keepNext w:val="0"/>
        <w:keepLines w:val="0"/>
        <w:pageBreakBefore w:val="0"/>
        <w:widowControl/>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仿宋_GB2312" w:eastAsia="仿宋_GB2312"/>
          <w:b/>
          <w:bCs/>
          <w:spacing w:val="-5"/>
          <w:sz w:val="32"/>
          <w:szCs w:val="32"/>
        </w:rPr>
      </w:pPr>
      <w:r>
        <w:rPr>
          <w:rFonts w:hint="eastAsia" w:ascii="方正小标宋简体" w:eastAsia="方正小标宋简体"/>
          <w:spacing w:val="-5"/>
          <w:sz w:val="44"/>
          <w:szCs w:val="44"/>
        </w:rPr>
        <w:t>的解读说明</w:t>
      </w:r>
    </w:p>
    <w:p>
      <w:pPr>
        <w:pStyle w:val="9"/>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eastAsia="仿宋_GB2312"/>
          <w:spacing w:val="-5"/>
          <w:sz w:val="32"/>
          <w:szCs w:val="32"/>
        </w:rPr>
      </w:pP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rPr>
      </w:pPr>
      <w:r>
        <w:rPr>
          <w:rFonts w:hint="eastAsia" w:ascii="Times New Roman" w:hAnsi="Times New Roman" w:eastAsia="方正仿宋简体"/>
          <w:spacing w:val="-6"/>
          <w:sz w:val="32"/>
          <w:szCs w:val="32"/>
          <w:lang w:eastAsia="zh-CN"/>
        </w:rPr>
        <w:t>为便于广大业主和社会公众更好地理解《关于始兴县中洲壹号花园小区前期物业服务收费标准的方案（征求意见稿）》（以下简称《方案（征求意见稿）》）的背景、依据及主要内容，现作如下解读</w:t>
      </w:r>
      <w:r>
        <w:rPr>
          <w:rFonts w:hint="eastAsia" w:ascii="Times New Roman" w:hAnsi="Times New Roman" w:eastAsia="方正仿宋简体"/>
          <w:spacing w:val="-6"/>
          <w:sz w:val="32"/>
          <w:szCs w:val="32"/>
        </w:rPr>
        <w:t>：</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黑体简体" w:hAnsi="方正黑体简体" w:eastAsia="方正黑体简体" w:cs="方正黑体简体"/>
          <w:spacing w:val="-6"/>
          <w:sz w:val="32"/>
          <w:szCs w:val="32"/>
          <w:lang w:eastAsia="zh-CN"/>
        </w:rPr>
      </w:pPr>
      <w:r>
        <w:rPr>
          <w:rFonts w:hint="eastAsia" w:ascii="方正黑体简体" w:hAnsi="方正黑体简体" w:eastAsia="方正黑体简体" w:cs="方正黑体简体"/>
          <w:spacing w:val="-6"/>
          <w:sz w:val="32"/>
          <w:szCs w:val="32"/>
          <w:lang w:eastAsia="zh-CN"/>
        </w:rPr>
        <w:t>一、制定背景与必要性</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根据《广东省定价目录（2022年版）》等相关规定，普通住宅（含业主自有产权车位、车库）在业主大会成立之前的前期物业服务收费实行政府指导价管理。为规范中洲壹号花园小区前期物业服务收费行为，保障业主和物业服务企业的合法权益，促进物业服务质价相符，始兴县发展和改革局对中洲壹号花园物业服务成本进行审核，以小区实际情况为基本依据，参考周边地区收费水平，拟定了本《方案（征求意见稿）》。</w:t>
      </w:r>
      <w:bookmarkStart w:id="0" w:name="_GoBack"/>
      <w:bookmarkEnd w:id="0"/>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黑体简体" w:hAnsi="方正黑体简体" w:eastAsia="方正黑体简体" w:cs="方正黑体简体"/>
          <w:spacing w:val="-6"/>
          <w:sz w:val="32"/>
          <w:szCs w:val="32"/>
          <w:lang w:eastAsia="zh-CN"/>
        </w:rPr>
      </w:pPr>
      <w:r>
        <w:rPr>
          <w:rFonts w:hint="eastAsia" w:ascii="方正黑体简体" w:hAnsi="方正黑体简体" w:eastAsia="方正黑体简体" w:cs="方正黑体简体"/>
          <w:spacing w:val="-6"/>
          <w:sz w:val="32"/>
          <w:szCs w:val="32"/>
          <w:lang w:eastAsia="zh-CN"/>
        </w:rPr>
        <w:t>二、主要政策依据</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1.</w:t>
      </w:r>
      <w:r>
        <w:rPr>
          <w:rFonts w:hint="eastAsia" w:ascii="Times New Roman" w:hAnsi="Times New Roman" w:eastAsia="方正仿宋简体"/>
          <w:spacing w:val="-6"/>
          <w:sz w:val="32"/>
          <w:szCs w:val="32"/>
          <w:lang w:eastAsia="zh-CN"/>
        </w:rPr>
        <w:t>《广东省定价目录（2022年版）》（粤府办〔2022〕5号）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2.</w:t>
      </w:r>
      <w:r>
        <w:rPr>
          <w:rFonts w:hint="eastAsia" w:ascii="Times New Roman" w:hAnsi="Times New Roman" w:eastAsia="方正仿宋简体"/>
          <w:spacing w:val="-6"/>
          <w:sz w:val="32"/>
          <w:szCs w:val="32"/>
          <w:lang w:eastAsia="zh-CN"/>
        </w:rPr>
        <w:t>《广东省发展改革委关于印发政府制定价格行为规则的实施细则（2024年修订）的通知》（粤发改规〔2024〕3号）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3.</w:t>
      </w:r>
      <w:r>
        <w:rPr>
          <w:rFonts w:hint="eastAsia" w:ascii="Times New Roman" w:hAnsi="Times New Roman" w:eastAsia="方正仿宋简体"/>
          <w:spacing w:val="-6"/>
          <w:sz w:val="32"/>
          <w:szCs w:val="32"/>
          <w:lang w:eastAsia="zh-CN"/>
        </w:rPr>
        <w:t>《韶关市物业服务收费管理实施细则》（韶发改联〔2020〕23号）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4.</w:t>
      </w:r>
      <w:r>
        <w:rPr>
          <w:rFonts w:hint="eastAsia" w:ascii="Times New Roman" w:hAnsi="Times New Roman" w:eastAsia="方正仿宋简体"/>
          <w:spacing w:val="-6"/>
          <w:sz w:val="32"/>
          <w:szCs w:val="32"/>
          <w:lang w:eastAsia="zh-CN"/>
        </w:rPr>
        <w:t>《物业服务定价成本监审办法（试行）》（发改价格〔2007〕2285号）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5.</w:t>
      </w:r>
      <w:r>
        <w:rPr>
          <w:rFonts w:hint="eastAsia" w:ascii="Times New Roman" w:hAnsi="Times New Roman" w:eastAsia="方正仿宋简体"/>
          <w:spacing w:val="-6"/>
          <w:sz w:val="32"/>
          <w:szCs w:val="32"/>
          <w:lang w:eastAsia="zh-CN"/>
        </w:rPr>
        <w:t>《韶关市发展和改革局 韶关市住房和城乡建设管理局关于调整市区物业服务收费标准的通知》（韶发改联〔2021〕19号）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6.</w:t>
      </w:r>
      <w:r>
        <w:rPr>
          <w:rFonts w:hint="eastAsia" w:ascii="Times New Roman" w:hAnsi="Times New Roman" w:eastAsia="方正仿宋简体"/>
          <w:spacing w:val="-6"/>
          <w:sz w:val="32"/>
          <w:szCs w:val="32"/>
          <w:lang w:eastAsia="zh-CN"/>
        </w:rPr>
        <w:t>《关于编制印发&lt;韶关市物业服务等级标准&gt;的通知》（韶物协〔2021〕15号）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黑体简体" w:hAnsi="方正黑体简体" w:eastAsia="方正黑体简体" w:cs="方正黑体简体"/>
          <w:spacing w:val="-6"/>
          <w:sz w:val="32"/>
          <w:szCs w:val="32"/>
          <w:lang w:eastAsia="zh-CN"/>
        </w:rPr>
      </w:pPr>
      <w:r>
        <w:rPr>
          <w:rFonts w:hint="eastAsia" w:ascii="方正黑体简体" w:hAnsi="方正黑体简体" w:eastAsia="方正黑体简体" w:cs="方正黑体简体"/>
          <w:spacing w:val="-6"/>
          <w:sz w:val="32"/>
          <w:szCs w:val="32"/>
          <w:lang w:eastAsia="zh-CN"/>
        </w:rPr>
        <w:t>三、收费标准拟定过程与考量</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县发展和改革局严格按照政府制定价格程序开展工作：</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1.</w:t>
      </w:r>
      <w:r>
        <w:rPr>
          <w:rFonts w:hint="eastAsia" w:ascii="Times New Roman" w:hAnsi="Times New Roman" w:eastAsia="方正仿宋简体"/>
          <w:spacing w:val="-6"/>
          <w:sz w:val="32"/>
          <w:szCs w:val="32"/>
          <w:lang w:eastAsia="zh-CN"/>
        </w:rPr>
        <w:t>企业申请：中洲（始兴）物业服务有限公司根据成本审核报告（成本2.08元/平方米·月），申请按1.78元/平方米·月收取前期物业服务费。</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2.</w:t>
      </w:r>
      <w:r>
        <w:rPr>
          <w:rFonts w:hint="eastAsia" w:ascii="Times New Roman" w:hAnsi="Times New Roman" w:eastAsia="方正仿宋简体"/>
          <w:spacing w:val="-6"/>
          <w:sz w:val="32"/>
          <w:szCs w:val="32"/>
          <w:lang w:eastAsia="zh-CN"/>
        </w:rPr>
        <w:t>部门审核：县发展改革局严格履行定价程序，对申请材料进行了审核。</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3.</w:t>
      </w:r>
      <w:r>
        <w:rPr>
          <w:rFonts w:hint="eastAsia" w:ascii="Times New Roman" w:hAnsi="Times New Roman" w:eastAsia="方正仿宋简体"/>
          <w:spacing w:val="-6"/>
          <w:sz w:val="32"/>
          <w:szCs w:val="32"/>
          <w:lang w:eastAsia="zh-CN"/>
        </w:rPr>
        <w:t>成本与参照结合：在核定成本的基础上，充分参考了周边县（市、区）同级服务水平的收费情况，并考虑了业主承受能力与社会经济发展水平。</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4.</w:t>
      </w:r>
      <w:r>
        <w:rPr>
          <w:rFonts w:hint="eastAsia" w:ascii="Times New Roman" w:hAnsi="Times New Roman" w:eastAsia="方正仿宋简体"/>
          <w:spacing w:val="-6"/>
          <w:sz w:val="32"/>
          <w:szCs w:val="32"/>
          <w:lang w:eastAsia="zh-CN"/>
        </w:rPr>
        <w:t>拟定价格：综合以上因素，拟将中洲壹号花园小区（带电梯）普通住宅的前期物业服务收费标准定为1.78元/平方米·月（按建筑面积计算）。此费用已包含物业区域内绿化养护、清洁卫生、设施日常维护及公用水电等分摊费用。</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黑体简体" w:hAnsi="方正黑体简体" w:eastAsia="方正黑体简体" w:cs="方正黑体简体"/>
          <w:spacing w:val="-6"/>
          <w:sz w:val="32"/>
          <w:szCs w:val="32"/>
          <w:lang w:eastAsia="zh-CN"/>
        </w:rPr>
      </w:pPr>
      <w:r>
        <w:rPr>
          <w:rFonts w:hint="eastAsia" w:ascii="方正黑体简体" w:hAnsi="方正黑体简体" w:eastAsia="方正黑体简体" w:cs="方正黑体简体"/>
          <w:spacing w:val="-6"/>
          <w:sz w:val="32"/>
          <w:szCs w:val="32"/>
          <w:lang w:eastAsia="zh-CN"/>
        </w:rPr>
        <w:t>四、其他相关收费说明</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val="en-US" w:eastAsia="zh-CN"/>
        </w:rPr>
      </w:pPr>
      <w:r>
        <w:rPr>
          <w:rFonts w:hint="eastAsia" w:ascii="Times New Roman" w:hAnsi="Times New Roman" w:eastAsia="方正仿宋简体"/>
          <w:spacing w:val="-6"/>
          <w:sz w:val="32"/>
          <w:szCs w:val="32"/>
          <w:lang w:val="en-US" w:eastAsia="zh-CN"/>
        </w:rPr>
        <w:t>1.车位物业服务费：业主自有产权车位的物业服务费拟定为40元/车位·月。车库物业服务费按普通住宅标准执行。</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val="en-US" w:eastAsia="zh-CN"/>
        </w:rPr>
      </w:pPr>
      <w:r>
        <w:rPr>
          <w:rFonts w:hint="eastAsia" w:ascii="Times New Roman" w:hAnsi="Times New Roman" w:eastAsia="方正仿宋简体"/>
          <w:spacing w:val="-6"/>
          <w:sz w:val="32"/>
          <w:szCs w:val="32"/>
          <w:lang w:val="en-US" w:eastAsia="zh-CN"/>
        </w:rPr>
        <w:t>2.商铺物业服务费：根据规定，商铺物业服务收费实行市场调节价，由物业服务企业与业主协商确定。</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val="en-US" w:eastAsia="zh-CN"/>
        </w:rPr>
      </w:pPr>
      <w:r>
        <w:rPr>
          <w:rFonts w:hint="eastAsia" w:ascii="Times New Roman" w:hAnsi="Times New Roman" w:eastAsia="方正仿宋简体"/>
          <w:spacing w:val="-6"/>
          <w:sz w:val="32"/>
          <w:szCs w:val="32"/>
          <w:lang w:val="en-US" w:eastAsia="zh-CN"/>
        </w:rPr>
        <w:t>3.费用构成：上述住宅及车位物业服务费为包干制形式，已包含管理服务人员费用、公共设施运行维护、清洁绿化、秩序维护、办公费用、固定资产折旧、保险费及公摊水电等，具体构成详见《韶关市物业服务收费管理实施细则》第十二条。</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4.公摊水电费：根据《实施细则》第十五条，公共部位及设施产生的水电费已纳入物业服务成本，不得再另行加价收取。物业服务企业需对公摊水电单独列账并定期公示</w:t>
      </w:r>
      <w:r>
        <w:rPr>
          <w:rFonts w:hint="eastAsia" w:ascii="Times New Roman" w:hAnsi="Times New Roman" w:eastAsia="方正仿宋简体"/>
          <w:spacing w:val="-6"/>
          <w:sz w:val="32"/>
          <w:szCs w:val="32"/>
          <w:lang w:eastAsia="zh-CN"/>
        </w:rPr>
        <w:t>。</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黑体简体" w:hAnsi="方正黑体简体" w:eastAsia="方正黑体简体" w:cs="方正黑体简体"/>
          <w:spacing w:val="-6"/>
          <w:sz w:val="32"/>
          <w:szCs w:val="32"/>
          <w:lang w:eastAsia="zh-CN"/>
        </w:rPr>
      </w:pPr>
      <w:r>
        <w:rPr>
          <w:rFonts w:hint="eastAsia" w:ascii="方正黑体简体" w:hAnsi="方正黑体简体" w:eastAsia="方正黑体简体" w:cs="方正黑体简体"/>
          <w:spacing w:val="-6"/>
          <w:sz w:val="32"/>
          <w:szCs w:val="32"/>
          <w:lang w:eastAsia="zh-CN"/>
        </w:rPr>
        <w:t>五、执行与调整机制</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1.</w:t>
      </w:r>
      <w:r>
        <w:rPr>
          <w:rFonts w:hint="eastAsia" w:ascii="Times New Roman" w:hAnsi="Times New Roman" w:eastAsia="方正仿宋简体"/>
          <w:spacing w:val="-6"/>
          <w:sz w:val="32"/>
          <w:szCs w:val="32"/>
          <w:lang w:eastAsia="zh-CN"/>
        </w:rPr>
        <w:t>执行时间：收费标准计划自2025年物业交付之日起执行，具体日期以交付时间为准。</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2.</w:t>
      </w:r>
      <w:r>
        <w:rPr>
          <w:rFonts w:hint="eastAsia" w:ascii="Times New Roman" w:hAnsi="Times New Roman" w:eastAsia="方正仿宋简体"/>
          <w:spacing w:val="-6"/>
          <w:sz w:val="32"/>
          <w:szCs w:val="32"/>
          <w:lang w:eastAsia="zh-CN"/>
        </w:rPr>
        <w:t>合同约定：物业服务企业须在前期物业服务合同中明确服务内容、标准、收费项目及标准，并承诺服务不低于一级标准。</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3.</w:t>
      </w:r>
      <w:r>
        <w:rPr>
          <w:rFonts w:hint="eastAsia" w:ascii="Times New Roman" w:hAnsi="Times New Roman" w:eastAsia="方正仿宋简体"/>
          <w:spacing w:val="-6"/>
          <w:sz w:val="32"/>
          <w:szCs w:val="32"/>
          <w:lang w:eastAsia="zh-CN"/>
        </w:rPr>
        <w:t>价格调整：根据《实施细则》第十七条，后期如需调整收费标准（包括因成本上涨需超过政府指导价），需经过成本监审、公开公示、征得规定比例业主同意等法定程序，并报价格主管部门核定。</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4.</w:t>
      </w:r>
      <w:r>
        <w:rPr>
          <w:rFonts w:hint="eastAsia" w:ascii="Times New Roman" w:hAnsi="Times New Roman" w:eastAsia="方正仿宋简体"/>
          <w:spacing w:val="-6"/>
          <w:sz w:val="32"/>
          <w:szCs w:val="32"/>
          <w:lang w:eastAsia="zh-CN"/>
        </w:rPr>
        <w:t>市场调节价转换：小区业主大会依法成立后，住宅及车位的物业服务收费即转为市场调节价，由业主大会或业主委员会与物业服务企业通过合同重新约定。</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黑体简体" w:hAnsi="方正黑体简体" w:eastAsia="方正黑体简体" w:cs="方正黑体简体"/>
          <w:spacing w:val="-6"/>
          <w:sz w:val="32"/>
          <w:szCs w:val="32"/>
          <w:lang w:eastAsia="zh-CN"/>
        </w:rPr>
      </w:pPr>
      <w:r>
        <w:rPr>
          <w:rFonts w:hint="eastAsia" w:ascii="方正黑体简体" w:hAnsi="方正黑体简体" w:eastAsia="方正黑体简体" w:cs="方正黑体简体"/>
          <w:spacing w:val="-6"/>
          <w:sz w:val="32"/>
          <w:szCs w:val="32"/>
          <w:lang w:eastAsia="zh-CN"/>
        </w:rPr>
        <w:t>六、监督管理与权益保障</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1.</w:t>
      </w:r>
      <w:r>
        <w:rPr>
          <w:rFonts w:hint="eastAsia" w:ascii="Times New Roman" w:hAnsi="Times New Roman" w:eastAsia="方正仿宋简体"/>
          <w:spacing w:val="-6"/>
          <w:sz w:val="32"/>
          <w:szCs w:val="32"/>
          <w:lang w:eastAsia="zh-CN"/>
        </w:rPr>
        <w:t>明码标价：物业服务企业必须在小区显著位置公示服务内容、标准、收费项目、标准及依据等，接受监督。</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2.</w:t>
      </w:r>
      <w:r>
        <w:rPr>
          <w:rFonts w:hint="eastAsia" w:ascii="Times New Roman" w:hAnsi="Times New Roman" w:eastAsia="方正仿宋简体"/>
          <w:spacing w:val="-6"/>
          <w:sz w:val="32"/>
          <w:szCs w:val="32"/>
          <w:lang w:eastAsia="zh-CN"/>
        </w:rPr>
        <w:t>质价相符：企业须按合同约定提供与收费标准相匹配的服务，主管部门将加强监管。</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3.</w:t>
      </w:r>
      <w:r>
        <w:rPr>
          <w:rFonts w:hint="eastAsia" w:ascii="Times New Roman" w:hAnsi="Times New Roman" w:eastAsia="方正仿宋简体"/>
          <w:spacing w:val="-6"/>
          <w:sz w:val="32"/>
          <w:szCs w:val="32"/>
          <w:lang w:eastAsia="zh-CN"/>
        </w:rPr>
        <w:t>争议解决：业主对收费有异议，可向价格或房地产主管部门反映，也可依据合同约定申请仲裁或通过司法途径解决。</w:t>
      </w:r>
    </w:p>
    <w:p>
      <w:pPr>
        <w:keepNext w:val="0"/>
        <w:keepLines w:val="0"/>
        <w:pageBreakBefore w:val="0"/>
        <w:widowControl/>
        <w:kinsoku/>
        <w:wordWrap/>
        <w:overflowPunct/>
        <w:topLinePunct w:val="0"/>
        <w:autoSpaceDE/>
        <w:autoSpaceDN/>
        <w:bidi w:val="0"/>
        <w:adjustRightInd/>
        <w:snapToGrid/>
        <w:spacing w:line="570" w:lineRule="exact"/>
        <w:ind w:right="0" w:rightChars="0"/>
        <w:jc w:val="left"/>
        <w:textAlignment w:val="auto"/>
        <w:outlineLvl w:val="9"/>
        <w:rPr>
          <w:rFonts w:hint="eastAsia" w:ascii="Times New Roman" w:hAnsi="Times New Roman" w:eastAsia="方正仿宋简体" w:cs="宋体"/>
          <w:spacing w:val="-6"/>
          <w:kern w:val="0"/>
          <w:sz w:val="32"/>
          <w:szCs w:val="32"/>
        </w:rPr>
      </w:pPr>
    </w:p>
    <w:p>
      <w:pPr>
        <w:keepNext w:val="0"/>
        <w:keepLines w:val="0"/>
        <w:pageBreakBefore w:val="0"/>
        <w:widowControl/>
        <w:kinsoku/>
        <w:wordWrap/>
        <w:overflowPunct/>
        <w:topLinePunct w:val="0"/>
        <w:autoSpaceDE/>
        <w:autoSpaceDN/>
        <w:bidi w:val="0"/>
        <w:adjustRightInd/>
        <w:snapToGrid/>
        <w:spacing w:line="570" w:lineRule="exact"/>
        <w:ind w:right="0" w:rightChars="0"/>
        <w:jc w:val="left"/>
        <w:textAlignment w:val="auto"/>
        <w:outlineLvl w:val="9"/>
        <w:rPr>
          <w:rFonts w:hint="eastAsia" w:ascii="Times New Roman" w:hAnsi="Times New Roman" w:eastAsia="方正仿宋简体" w:cs="宋体"/>
          <w:spacing w:val="-6"/>
          <w:kern w:val="0"/>
          <w:sz w:val="32"/>
          <w:szCs w:val="32"/>
        </w:rPr>
      </w:pPr>
    </w:p>
    <w:p>
      <w:pPr>
        <w:keepNext w:val="0"/>
        <w:keepLines w:val="0"/>
        <w:pageBreakBefore w:val="0"/>
        <w:widowControl/>
        <w:kinsoku/>
        <w:wordWrap w:val="0"/>
        <w:overflowPunct/>
        <w:topLinePunct w:val="0"/>
        <w:autoSpaceDE/>
        <w:autoSpaceDN/>
        <w:bidi w:val="0"/>
        <w:adjustRightInd/>
        <w:snapToGrid/>
        <w:spacing w:line="570" w:lineRule="exact"/>
        <w:ind w:right="0" w:rightChars="0"/>
        <w:jc w:val="right"/>
        <w:textAlignment w:val="auto"/>
        <w:outlineLvl w:val="9"/>
        <w:rPr>
          <w:rFonts w:hint="default" w:ascii="Times New Roman" w:hAnsi="Times New Roman" w:eastAsia="方正仿宋简体" w:cs="宋体"/>
          <w:spacing w:val="-6"/>
          <w:kern w:val="0"/>
          <w:sz w:val="32"/>
          <w:szCs w:val="32"/>
          <w:lang w:val="en-US" w:eastAsia="zh-CN"/>
        </w:rPr>
      </w:pPr>
      <w:r>
        <w:rPr>
          <w:rFonts w:hint="eastAsia" w:ascii="Times New Roman" w:hAnsi="Times New Roman" w:eastAsia="方正仿宋简体" w:cs="宋体"/>
          <w:spacing w:val="-6"/>
          <w:kern w:val="0"/>
          <w:sz w:val="32"/>
          <w:szCs w:val="32"/>
        </w:rPr>
        <w:t>始兴县发展和改革局</w:t>
      </w:r>
      <w:r>
        <w:rPr>
          <w:rFonts w:hint="eastAsia" w:ascii="Times New Roman" w:hAnsi="Times New Roman" w:eastAsia="方正仿宋简体" w:cs="宋体"/>
          <w:spacing w:val="-6"/>
          <w:kern w:val="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70" w:lineRule="exact"/>
        <w:ind w:left="5107" w:leftChars="2432" w:right="0" w:rightChars="0" w:firstLine="154" w:firstLineChars="50"/>
        <w:jc w:val="right"/>
        <w:textAlignment w:val="auto"/>
        <w:outlineLvl w:val="9"/>
        <w:rPr>
          <w:rFonts w:hint="default" w:ascii="Times New Roman" w:hAnsi="Times New Roman" w:eastAsia="方正仿宋简体"/>
          <w:spacing w:val="-6"/>
          <w:lang w:val="en-US" w:eastAsia="zh-CN"/>
        </w:rPr>
      </w:pPr>
      <w:r>
        <w:rPr>
          <w:rFonts w:hint="eastAsia" w:ascii="Times New Roman" w:hAnsi="Times New Roman" w:eastAsia="方正仿宋简体" w:cs="宋体"/>
          <w:spacing w:val="-6"/>
          <w:kern w:val="0"/>
          <w:sz w:val="32"/>
          <w:szCs w:val="32"/>
        </w:rPr>
        <w:t>202</w:t>
      </w:r>
      <w:r>
        <w:rPr>
          <w:rFonts w:hint="eastAsia" w:ascii="Times New Roman" w:hAnsi="Times New Roman" w:eastAsia="方正仿宋简体" w:cs="宋体"/>
          <w:spacing w:val="-6"/>
          <w:kern w:val="0"/>
          <w:sz w:val="32"/>
          <w:szCs w:val="32"/>
          <w:lang w:val="en-US" w:eastAsia="zh-CN"/>
        </w:rPr>
        <w:t>6</w:t>
      </w:r>
      <w:r>
        <w:rPr>
          <w:rFonts w:hint="eastAsia" w:ascii="Times New Roman" w:hAnsi="Times New Roman" w:eastAsia="方正仿宋简体" w:cs="宋体"/>
          <w:spacing w:val="-6"/>
          <w:kern w:val="0"/>
          <w:sz w:val="32"/>
          <w:szCs w:val="32"/>
        </w:rPr>
        <w:t>年</w:t>
      </w:r>
      <w:r>
        <w:rPr>
          <w:rFonts w:hint="eastAsia" w:ascii="Times New Roman" w:hAnsi="Times New Roman" w:eastAsia="方正仿宋简体" w:cs="宋体"/>
          <w:spacing w:val="-6"/>
          <w:kern w:val="0"/>
          <w:sz w:val="32"/>
          <w:szCs w:val="32"/>
          <w:lang w:val="en-US" w:eastAsia="zh-CN"/>
        </w:rPr>
        <w:t>1</w:t>
      </w:r>
      <w:r>
        <w:rPr>
          <w:rFonts w:hint="eastAsia" w:ascii="Times New Roman" w:hAnsi="Times New Roman" w:eastAsia="方正仿宋简体" w:cs="宋体"/>
          <w:spacing w:val="-6"/>
          <w:kern w:val="0"/>
          <w:sz w:val="32"/>
          <w:szCs w:val="32"/>
        </w:rPr>
        <w:t>月</w:t>
      </w:r>
      <w:r>
        <w:rPr>
          <w:rFonts w:hint="eastAsia" w:ascii="Times New Roman" w:hAnsi="Times New Roman" w:eastAsia="方正仿宋简体" w:cs="宋体"/>
          <w:spacing w:val="-6"/>
          <w:kern w:val="0"/>
          <w:sz w:val="32"/>
          <w:szCs w:val="32"/>
          <w:lang w:val="en-US" w:eastAsia="zh-CN"/>
        </w:rPr>
        <w:t>15</w:t>
      </w:r>
      <w:r>
        <w:rPr>
          <w:rFonts w:hint="eastAsia" w:ascii="Times New Roman" w:hAnsi="Times New Roman" w:eastAsia="方正仿宋简体" w:cs="宋体"/>
          <w:spacing w:val="-6"/>
          <w:kern w:val="0"/>
          <w:sz w:val="32"/>
          <w:szCs w:val="32"/>
        </w:rPr>
        <w:t>日</w:t>
      </w:r>
      <w:r>
        <w:rPr>
          <w:rFonts w:hint="eastAsia" w:ascii="Times New Roman" w:hAnsi="Times New Roman" w:eastAsia="方正仿宋简体" w:cs="宋体"/>
          <w:spacing w:val="-6"/>
          <w:kern w:val="0"/>
          <w:sz w:val="32"/>
          <w:szCs w:val="32"/>
          <w:lang w:val="en-US" w:eastAsia="zh-CN"/>
        </w:rPr>
        <w:t xml:space="preserve">        </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-133350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35yTcNQAAAAIAQAADwAAAAAAAAABACAAAAA4AAAAZHJzL2Rvd25yZXYueG1sUEsBAhQAFAAAAAgA&#10;h07iQAXccrATAgAAEwQAAA4AAAAAAAAAAQAgAAAAOQEAAGRycy9lMm9Eb2MueG1sUEsFBgAAAAAG&#10;AAYAWQEAAL4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- 1 -</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C3AD2"/>
    <w:rsid w:val="13C96385"/>
    <w:rsid w:val="1406725B"/>
    <w:rsid w:val="18D0625E"/>
    <w:rsid w:val="1EA133CD"/>
    <w:rsid w:val="235F2314"/>
    <w:rsid w:val="23E40828"/>
    <w:rsid w:val="25A7C90D"/>
    <w:rsid w:val="289E012C"/>
    <w:rsid w:val="2A8D3CF0"/>
    <w:rsid w:val="2FE32D3E"/>
    <w:rsid w:val="30B2513E"/>
    <w:rsid w:val="32393971"/>
    <w:rsid w:val="32422082"/>
    <w:rsid w:val="32F31EA6"/>
    <w:rsid w:val="33CDABC2"/>
    <w:rsid w:val="398E7E60"/>
    <w:rsid w:val="42237B89"/>
    <w:rsid w:val="432F0FC0"/>
    <w:rsid w:val="45C65868"/>
    <w:rsid w:val="53490DAB"/>
    <w:rsid w:val="54110ACF"/>
    <w:rsid w:val="599F584B"/>
    <w:rsid w:val="5BDE1252"/>
    <w:rsid w:val="5D7D062A"/>
    <w:rsid w:val="5E7908F6"/>
    <w:rsid w:val="63D52BFA"/>
    <w:rsid w:val="68B50ADE"/>
    <w:rsid w:val="68E97779"/>
    <w:rsid w:val="6BDCCAA1"/>
    <w:rsid w:val="6C4F6376"/>
    <w:rsid w:val="6CFADDA0"/>
    <w:rsid w:val="6F5C3326"/>
    <w:rsid w:val="70EE6A45"/>
    <w:rsid w:val="7119668A"/>
    <w:rsid w:val="72F90E5B"/>
    <w:rsid w:val="76E653D1"/>
    <w:rsid w:val="777BD3FC"/>
    <w:rsid w:val="79F71A6B"/>
    <w:rsid w:val="7AA33CC7"/>
    <w:rsid w:val="7AC9AAD1"/>
    <w:rsid w:val="7BFF0F73"/>
    <w:rsid w:val="7D68E7AB"/>
    <w:rsid w:val="7EFECD5B"/>
    <w:rsid w:val="7FDE1BC4"/>
    <w:rsid w:val="7FF592A4"/>
    <w:rsid w:val="A7FB9FDA"/>
    <w:rsid w:val="BDF2B898"/>
    <w:rsid w:val="BDFFEA40"/>
    <w:rsid w:val="CD5F3877"/>
    <w:rsid w:val="E1E744C2"/>
    <w:rsid w:val="EFFFD749"/>
    <w:rsid w:val="FAFFA84C"/>
    <w:rsid w:val="FE7F9DD8"/>
    <w:rsid w:val="FF2D1952"/>
    <w:rsid w:val="FF3E9721"/>
    <w:rsid w:val="FF9E3C98"/>
    <w:rsid w:val="FFFE2B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15"/>
    <w:basedOn w:val="1"/>
    <w:qFormat/>
    <w:uiPriority w:val="0"/>
    <w:pPr>
      <w:widowControl/>
    </w:pPr>
    <w:rPr>
      <w:kern w:val="0"/>
      <w:szCs w:val="21"/>
    </w:rPr>
  </w:style>
  <w:style w:type="paragraph" w:customStyle="1" w:styleId="9">
    <w:name w:val="p0"/>
    <w:basedOn w:val="1"/>
    <w:qFormat/>
    <w:uiPriority w:val="0"/>
    <w:pPr>
      <w:widowControl/>
    </w:pPr>
    <w:rPr>
      <w:kern w:val="0"/>
      <w:szCs w:val="21"/>
    </w:rPr>
  </w:style>
  <w:style w:type="paragraph" w:customStyle="1" w:styleId="10">
    <w:name w:val="正文 New New New"/>
    <w:qFormat/>
    <w:uiPriority w:val="0"/>
    <w:pPr>
      <w:widowControl w:val="0"/>
      <w:jc w:val="both"/>
    </w:pPr>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250</Words>
  <Characters>264</Characters>
  <Lines>0</Lines>
  <Paragraphs>0</Paragraphs>
  <TotalTime>1</TotalTime>
  <ScaleCrop>false</ScaleCrop>
  <LinksUpToDate>false</LinksUpToDate>
  <CharactersWithSpaces>279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fg415</cp:lastModifiedBy>
  <cp:lastPrinted>2026-01-15T15:53:43Z</cp:lastPrinted>
  <dcterms:modified xsi:type="dcterms:W3CDTF">2026-01-15T15:54:14Z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