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5E8E4">
      <w:pPr>
        <w:spacing w:line="240" w:lineRule="auto"/>
        <w:ind w:left="0" w:leftChars="0" w:firstLine="440" w:firstLineChars="100"/>
        <w:jc w:val="center"/>
        <w:rPr>
          <w:rFonts w:hint="eastAsia" w:ascii="Arial Unicode MS" w:hAnsi="Arial Unicode MS" w:eastAsia="Arial Unicode MS" w:cs="Arial Unicode MS"/>
          <w:b w:val="0"/>
          <w:bCs w:val="0"/>
          <w:sz w:val="44"/>
          <w:szCs w:val="44"/>
          <w:highlight w:val="none"/>
        </w:rPr>
      </w:pPr>
      <w:r>
        <w:rPr>
          <w:rFonts w:hint="eastAsia" w:ascii="Arial Unicode MS" w:hAnsi="Arial Unicode MS" w:eastAsia="Arial Unicode MS" w:cs="Arial Unicode MS"/>
          <w:b w:val="0"/>
          <w:bCs w:val="0"/>
          <w:sz w:val="44"/>
          <w:szCs w:val="44"/>
          <w:highlight w:val="none"/>
          <w:lang w:eastAsia="zh-CN"/>
        </w:rPr>
        <w:t>始兴县</w:t>
      </w:r>
      <w:r>
        <w:rPr>
          <w:rFonts w:hint="eastAsia" w:ascii="Arial Unicode MS" w:hAnsi="Arial Unicode MS" w:eastAsia="Arial Unicode MS" w:cs="Arial Unicode MS"/>
          <w:b w:val="0"/>
          <w:bCs w:val="0"/>
          <w:sz w:val="44"/>
          <w:szCs w:val="44"/>
          <w:highlight w:val="none"/>
        </w:rPr>
        <w:t>畜禽养殖污染防治规划</w:t>
      </w:r>
    </w:p>
    <w:p w14:paraId="6932587E">
      <w:pPr>
        <w:spacing w:line="240" w:lineRule="auto"/>
        <w:ind w:left="0" w:leftChars="0" w:firstLine="440" w:firstLineChars="100"/>
        <w:jc w:val="center"/>
        <w:rPr>
          <w:rFonts w:hint="eastAsia" w:ascii="Arial Unicode MS" w:hAnsi="Arial Unicode MS" w:eastAsia="Arial Unicode MS" w:cs="Arial Unicode MS"/>
          <w:b w:val="0"/>
          <w:bCs w:val="0"/>
          <w:sz w:val="44"/>
          <w:szCs w:val="44"/>
          <w:highlight w:val="none"/>
          <w:lang w:eastAsia="zh-CN"/>
        </w:rPr>
      </w:pPr>
      <w:r>
        <w:rPr>
          <w:rFonts w:hint="eastAsia" w:ascii="Arial Unicode MS" w:hAnsi="Arial Unicode MS" w:eastAsia="Arial Unicode MS" w:cs="Arial Unicode MS"/>
          <w:b w:val="0"/>
          <w:bCs w:val="0"/>
          <w:sz w:val="44"/>
          <w:szCs w:val="44"/>
          <w:highlight w:val="none"/>
        </w:rPr>
        <w:t>（2024</w:t>
      </w:r>
      <w:r>
        <w:rPr>
          <w:rFonts w:hint="eastAsia" w:ascii="Arial Unicode MS" w:hAnsi="Arial Unicode MS" w:eastAsia="Arial Unicode MS" w:cs="Arial Unicode MS"/>
          <w:b w:val="0"/>
          <w:bCs w:val="0"/>
          <w:sz w:val="44"/>
          <w:szCs w:val="44"/>
          <w:highlight w:val="none"/>
          <w:lang w:eastAsia="zh-CN"/>
        </w:rPr>
        <w:t>—</w:t>
      </w:r>
      <w:r>
        <w:rPr>
          <w:rFonts w:hint="eastAsia" w:ascii="Arial Unicode MS" w:hAnsi="Arial Unicode MS" w:eastAsia="Arial Unicode MS" w:cs="Arial Unicode MS"/>
          <w:b w:val="0"/>
          <w:bCs w:val="0"/>
          <w:sz w:val="44"/>
          <w:szCs w:val="44"/>
          <w:highlight w:val="none"/>
        </w:rPr>
        <w:t>2030年）</w:t>
      </w:r>
      <w:r>
        <w:rPr>
          <w:rFonts w:hint="eastAsia" w:ascii="Arial Unicode MS" w:hAnsi="Arial Unicode MS" w:eastAsia="Arial Unicode MS" w:cs="Arial Unicode MS"/>
          <w:b w:val="0"/>
          <w:bCs w:val="0"/>
          <w:sz w:val="44"/>
          <w:szCs w:val="44"/>
          <w:highlight w:val="none"/>
          <w:lang w:eastAsia="zh-CN"/>
        </w:rPr>
        <w:t>（</w:t>
      </w:r>
      <w:r>
        <w:rPr>
          <w:rFonts w:hint="eastAsia" w:ascii="Arial Unicode MS" w:hAnsi="Arial Unicode MS" w:eastAsia="Arial Unicode MS" w:cs="Arial Unicode MS"/>
          <w:b w:val="0"/>
          <w:bCs w:val="0"/>
          <w:sz w:val="44"/>
          <w:szCs w:val="44"/>
          <w:highlight w:val="none"/>
          <w:lang w:val="en-US" w:eastAsia="zh-CN"/>
        </w:rPr>
        <w:t>征求意见稿</w:t>
      </w:r>
      <w:r>
        <w:rPr>
          <w:rFonts w:hint="eastAsia" w:ascii="Arial Unicode MS" w:hAnsi="Arial Unicode MS" w:eastAsia="Arial Unicode MS" w:cs="Arial Unicode MS"/>
          <w:b w:val="0"/>
          <w:bCs w:val="0"/>
          <w:sz w:val="44"/>
          <w:szCs w:val="44"/>
          <w:highlight w:val="none"/>
          <w:lang w:eastAsia="zh-CN"/>
        </w:rPr>
        <w:t>）</w:t>
      </w:r>
    </w:p>
    <w:p w14:paraId="4E7F5C72">
      <w:pPr>
        <w:spacing w:line="240" w:lineRule="auto"/>
        <w:ind w:left="0" w:leftChars="0" w:firstLine="440" w:firstLineChars="100"/>
        <w:jc w:val="center"/>
        <w:rPr>
          <w:rFonts w:hint="eastAsia" w:ascii="Arial Unicode MS" w:hAnsi="Arial Unicode MS" w:eastAsia="Arial Unicode MS" w:cs="Arial Unicode MS"/>
          <w:b/>
          <w:bCs/>
          <w:sz w:val="32"/>
          <w:szCs w:val="32"/>
          <w:highlight w:val="none"/>
        </w:rPr>
      </w:pPr>
      <w:r>
        <w:rPr>
          <w:rFonts w:hint="eastAsia" w:ascii="Arial Unicode MS" w:hAnsi="Arial Unicode MS" w:eastAsia="Arial Unicode MS" w:cs="Arial Unicode MS"/>
          <w:b w:val="0"/>
          <w:bCs w:val="0"/>
          <w:sz w:val="44"/>
          <w:szCs w:val="44"/>
          <w:highlight w:val="none"/>
        </w:rPr>
        <w:t>政策解读</w:t>
      </w:r>
    </w:p>
    <w:p w14:paraId="5C83CA00">
      <w:pPr>
        <w:spacing w:line="360" w:lineRule="auto"/>
        <w:ind w:left="0" w:leftChars="0" w:firstLine="321" w:firstLineChars="100"/>
        <w:jc w:val="both"/>
        <w:rPr>
          <w:b/>
          <w:bCs/>
          <w:sz w:val="32"/>
          <w:szCs w:val="32"/>
          <w:highlight w:val="none"/>
        </w:rPr>
      </w:pPr>
    </w:p>
    <w:p w14:paraId="74D9A66C">
      <w:pPr>
        <w:spacing w:line="360" w:lineRule="auto"/>
        <w:rPr>
          <w:rFonts w:hint="eastAsia" w:ascii="黑体" w:hAnsi="黑体" w:eastAsia="黑体" w:cs="黑体"/>
          <w:b w:val="0"/>
          <w:bCs w:val="0"/>
          <w:color w:val="auto"/>
          <w:sz w:val="32"/>
          <w:szCs w:val="32"/>
          <w:highlight w:val="none"/>
        </w:rPr>
      </w:pPr>
      <w:r>
        <w:rPr>
          <w:rFonts w:hint="eastAsia" w:ascii="黑体" w:hAnsi="黑体" w:eastAsia="黑体" w:cs="黑体"/>
          <w:b w:val="0"/>
          <w:bCs w:val="0"/>
          <w:sz w:val="32"/>
          <w:szCs w:val="32"/>
          <w:highlight w:val="none"/>
        </w:rPr>
        <w:t>一、</w:t>
      </w:r>
      <w:r>
        <w:rPr>
          <w:rFonts w:hint="eastAsia" w:ascii="黑体" w:hAnsi="黑体" w:eastAsia="黑体" w:cs="黑体"/>
          <w:b w:val="0"/>
          <w:bCs w:val="0"/>
          <w:color w:val="auto"/>
          <w:sz w:val="32"/>
          <w:szCs w:val="32"/>
          <w:highlight w:val="none"/>
          <w:lang w:val="en-US" w:eastAsia="zh-CN"/>
        </w:rPr>
        <w:t>背景依据</w:t>
      </w:r>
    </w:p>
    <w:p w14:paraId="46743D10">
      <w:pPr>
        <w:spacing w:line="360" w:lineRule="auto"/>
        <w:rPr>
          <w:rFonts w:hint="eastAsia"/>
          <w:color w:val="auto"/>
          <w:sz w:val="28"/>
          <w:szCs w:val="32"/>
          <w:highlight w:val="none"/>
        </w:rPr>
      </w:pPr>
      <w:r>
        <w:rPr>
          <w:rFonts w:hint="eastAsia"/>
          <w:color w:val="auto"/>
          <w:sz w:val="28"/>
          <w:szCs w:val="32"/>
          <w:highlight w:val="none"/>
        </w:rPr>
        <w:t>近年来，</w:t>
      </w:r>
      <w:r>
        <w:rPr>
          <w:rFonts w:hint="eastAsia"/>
          <w:color w:val="auto"/>
          <w:sz w:val="28"/>
          <w:szCs w:val="32"/>
          <w:highlight w:val="none"/>
          <w:lang w:eastAsia="zh-CN"/>
        </w:rPr>
        <w:t>始兴县</w:t>
      </w:r>
      <w:r>
        <w:rPr>
          <w:rFonts w:hint="eastAsia"/>
          <w:color w:val="auto"/>
          <w:sz w:val="28"/>
          <w:szCs w:val="32"/>
          <w:highlight w:val="none"/>
        </w:rPr>
        <w:t>禽畜养殖业的迅速发展，既丰富了城乡居民的菜篮子，又促进了国民经济发展。</w:t>
      </w:r>
      <w:r>
        <w:rPr>
          <w:rFonts w:hint="eastAsia"/>
          <w:color w:val="auto"/>
          <w:sz w:val="28"/>
          <w:szCs w:val="32"/>
          <w:highlight w:val="none"/>
          <w:lang w:val="en-US" w:eastAsia="zh-CN"/>
        </w:rPr>
        <w:t>然而由于</w:t>
      </w:r>
      <w:r>
        <w:rPr>
          <w:rFonts w:hint="eastAsia"/>
          <w:color w:val="auto"/>
          <w:sz w:val="28"/>
          <w:szCs w:val="32"/>
          <w:highlight w:val="none"/>
          <w:lang w:eastAsia="zh-CN"/>
        </w:rPr>
        <w:t>始兴县</w:t>
      </w:r>
      <w:r>
        <w:rPr>
          <w:rFonts w:hint="eastAsia"/>
          <w:color w:val="auto"/>
          <w:sz w:val="28"/>
          <w:szCs w:val="32"/>
          <w:highlight w:val="none"/>
        </w:rPr>
        <w:t>畜禽养殖业地区畜禽养殖布局不够合理、种养结合程度不高等问题，区域生态环境仍受到一定威胁。根据韶关市生态环境局 韶关市农业农村局关于转发《畜禽养殖污染防治规划编制指南（试行）》的通知（韶环</w:t>
      </w:r>
      <w:r>
        <w:rPr>
          <w:rFonts w:hint="eastAsia"/>
          <w:color w:val="auto"/>
          <w:sz w:val="28"/>
          <w:szCs w:val="32"/>
          <w:highlight w:val="none"/>
          <w:lang w:eastAsia="zh-CN"/>
        </w:rPr>
        <w:t>〔2022〕13号</w:t>
      </w:r>
      <w:r>
        <w:rPr>
          <w:rFonts w:hint="eastAsia"/>
          <w:color w:val="auto"/>
          <w:sz w:val="28"/>
          <w:szCs w:val="32"/>
          <w:highlight w:val="none"/>
        </w:rPr>
        <w:t>），</w:t>
      </w:r>
      <w:r>
        <w:rPr>
          <w:rFonts w:hint="eastAsia"/>
          <w:color w:val="auto"/>
          <w:sz w:val="28"/>
          <w:szCs w:val="32"/>
          <w:highlight w:val="none"/>
          <w:lang w:eastAsia="zh-CN"/>
        </w:rPr>
        <w:t>始兴县</w:t>
      </w:r>
      <w:r>
        <w:rPr>
          <w:rFonts w:hint="eastAsia"/>
          <w:color w:val="auto"/>
          <w:sz w:val="28"/>
          <w:szCs w:val="32"/>
          <w:highlight w:val="none"/>
        </w:rPr>
        <w:t>不属于畜禽养殖大县，要求2024年底前完成该县畜禽养殖污染防治规划编制工作。</w:t>
      </w:r>
    </w:p>
    <w:p w14:paraId="5805C0F5">
      <w:pPr>
        <w:spacing w:line="360" w:lineRule="auto"/>
        <w:rPr>
          <w:rFonts w:hint="eastAsia" w:ascii="方正仿宋_GB2312" w:hAnsi="方正仿宋_GB2312" w:eastAsia="方正仿宋_GB2312" w:cs="方正仿宋_GB2312"/>
          <w:b/>
          <w:bCs/>
          <w:color w:val="auto"/>
          <w:sz w:val="32"/>
          <w:szCs w:val="32"/>
          <w:highlight w:val="none"/>
        </w:rPr>
      </w:pPr>
      <w:r>
        <w:rPr>
          <w:rFonts w:hint="eastAsia"/>
          <w:color w:val="auto"/>
          <w:sz w:val="28"/>
          <w:szCs w:val="32"/>
          <w:highlight w:val="none"/>
        </w:rPr>
        <w:t>为深入践行</w:t>
      </w:r>
      <w:r>
        <w:rPr>
          <w:rFonts w:hint="eastAsia"/>
          <w:color w:val="auto"/>
          <w:sz w:val="28"/>
          <w:szCs w:val="32"/>
          <w:highlight w:val="none"/>
          <w:lang w:eastAsia="zh-CN"/>
        </w:rPr>
        <w:t>创新、协调、绿色、开放、共享的发展理念</w:t>
      </w:r>
      <w:r>
        <w:rPr>
          <w:rFonts w:hint="eastAsia"/>
          <w:color w:val="auto"/>
          <w:sz w:val="28"/>
          <w:szCs w:val="32"/>
          <w:highlight w:val="none"/>
        </w:rPr>
        <w:t>，进一步有效开展</w:t>
      </w:r>
      <w:r>
        <w:rPr>
          <w:rFonts w:hint="eastAsia"/>
          <w:color w:val="auto"/>
          <w:sz w:val="28"/>
          <w:szCs w:val="32"/>
          <w:highlight w:val="none"/>
          <w:lang w:eastAsia="zh-CN"/>
        </w:rPr>
        <w:t>始兴县</w:t>
      </w:r>
      <w:r>
        <w:rPr>
          <w:rFonts w:hint="eastAsia"/>
          <w:color w:val="auto"/>
          <w:sz w:val="28"/>
          <w:szCs w:val="32"/>
          <w:highlight w:val="none"/>
        </w:rPr>
        <w:t>的畜禽养殖业的污染防治工作，保护水体和自然生态环境，改善城乡环境质量，实现畜禽养殖业健康持续发展、社会和谐及人与自然的和谐，深入推进</w:t>
      </w:r>
      <w:r>
        <w:rPr>
          <w:rFonts w:hint="eastAsia"/>
          <w:color w:val="auto"/>
          <w:sz w:val="28"/>
          <w:szCs w:val="32"/>
          <w:highlight w:val="none"/>
          <w:lang w:eastAsia="zh-CN"/>
        </w:rPr>
        <w:t>始兴县</w:t>
      </w:r>
      <w:r>
        <w:rPr>
          <w:rFonts w:hint="eastAsia"/>
          <w:color w:val="auto"/>
          <w:sz w:val="28"/>
          <w:szCs w:val="32"/>
          <w:highlight w:val="none"/>
        </w:rPr>
        <w:t>生态文明示范创建，必须强化规划政策引导，加大畜禽养殖业污染防治力度。根据《中华人民共和国水污染防治法</w:t>
      </w:r>
      <w:r>
        <w:rPr>
          <w:rFonts w:hint="eastAsia"/>
          <w:color w:val="auto"/>
          <w:sz w:val="28"/>
          <w:szCs w:val="32"/>
          <w:highlight w:val="none"/>
          <w:lang w:eastAsia="zh-CN"/>
        </w:rPr>
        <w:t>》《</w:t>
      </w:r>
      <w:r>
        <w:rPr>
          <w:rFonts w:hint="eastAsia"/>
          <w:color w:val="auto"/>
          <w:sz w:val="28"/>
          <w:szCs w:val="32"/>
          <w:highlight w:val="none"/>
        </w:rPr>
        <w:t>中华人民共和国畜牧法</w:t>
      </w:r>
      <w:r>
        <w:rPr>
          <w:rFonts w:hint="eastAsia"/>
          <w:color w:val="auto"/>
          <w:sz w:val="28"/>
          <w:szCs w:val="32"/>
          <w:highlight w:val="none"/>
          <w:lang w:eastAsia="zh-CN"/>
        </w:rPr>
        <w:t>》《</w:t>
      </w:r>
      <w:r>
        <w:rPr>
          <w:rFonts w:hint="eastAsia"/>
          <w:color w:val="auto"/>
          <w:sz w:val="28"/>
          <w:szCs w:val="32"/>
          <w:highlight w:val="none"/>
        </w:rPr>
        <w:t>畜禽规模养殖污染防治条例》等国家法律法规的要求，结合</w:t>
      </w:r>
      <w:r>
        <w:rPr>
          <w:rFonts w:hint="eastAsia"/>
          <w:color w:val="auto"/>
          <w:sz w:val="28"/>
          <w:szCs w:val="32"/>
          <w:highlight w:val="none"/>
          <w:lang w:eastAsia="zh-CN"/>
        </w:rPr>
        <w:t>始兴县</w:t>
      </w:r>
      <w:r>
        <w:rPr>
          <w:rFonts w:hint="eastAsia"/>
          <w:color w:val="auto"/>
          <w:sz w:val="28"/>
          <w:szCs w:val="32"/>
          <w:highlight w:val="none"/>
        </w:rPr>
        <w:t>实际情况，亟须加快编制《</w:t>
      </w:r>
      <w:r>
        <w:rPr>
          <w:rFonts w:hint="eastAsia"/>
          <w:color w:val="auto"/>
          <w:sz w:val="28"/>
          <w:szCs w:val="32"/>
          <w:highlight w:val="none"/>
          <w:lang w:eastAsia="zh-CN"/>
        </w:rPr>
        <w:t>始兴县</w:t>
      </w:r>
      <w:r>
        <w:rPr>
          <w:rFonts w:hint="eastAsia"/>
          <w:color w:val="auto"/>
          <w:sz w:val="28"/>
          <w:szCs w:val="32"/>
          <w:highlight w:val="none"/>
        </w:rPr>
        <w:t>畜禽养殖污染防治规划（2024</w:t>
      </w:r>
      <w:r>
        <w:rPr>
          <w:rFonts w:hint="eastAsia"/>
          <w:color w:val="auto"/>
          <w:sz w:val="28"/>
          <w:szCs w:val="32"/>
          <w:highlight w:val="none"/>
          <w:lang w:eastAsia="zh-CN"/>
        </w:rPr>
        <w:t>—</w:t>
      </w:r>
      <w:r>
        <w:rPr>
          <w:rFonts w:hint="eastAsia"/>
          <w:color w:val="auto"/>
          <w:sz w:val="28"/>
          <w:szCs w:val="32"/>
          <w:highlight w:val="none"/>
        </w:rPr>
        <w:t>2030年）》（以下简称《规划》），指导</w:t>
      </w:r>
      <w:r>
        <w:rPr>
          <w:rFonts w:hint="eastAsia"/>
          <w:color w:val="auto"/>
          <w:sz w:val="28"/>
          <w:szCs w:val="32"/>
          <w:highlight w:val="none"/>
          <w:lang w:eastAsia="zh-CN"/>
        </w:rPr>
        <w:t>始兴县</w:t>
      </w:r>
      <w:r>
        <w:rPr>
          <w:rFonts w:hint="eastAsia"/>
          <w:color w:val="auto"/>
          <w:sz w:val="28"/>
          <w:szCs w:val="32"/>
          <w:highlight w:val="none"/>
        </w:rPr>
        <w:t>畜禽养殖污染防治工作，全力推进建设经济社会发达、社会管理创新，环境健康宜居的生态</w:t>
      </w:r>
      <w:r>
        <w:rPr>
          <w:rFonts w:hint="eastAsia"/>
          <w:color w:val="auto"/>
          <w:sz w:val="28"/>
          <w:szCs w:val="32"/>
          <w:highlight w:val="none"/>
          <w:lang w:val="en-US" w:eastAsia="zh-CN"/>
        </w:rPr>
        <w:t>始兴</w:t>
      </w:r>
      <w:r>
        <w:rPr>
          <w:rFonts w:hint="eastAsia"/>
          <w:color w:val="auto"/>
          <w:sz w:val="28"/>
          <w:szCs w:val="32"/>
          <w:highlight w:val="none"/>
        </w:rPr>
        <w:t>、美丽</w:t>
      </w:r>
      <w:r>
        <w:rPr>
          <w:rFonts w:hint="eastAsia"/>
          <w:color w:val="auto"/>
          <w:sz w:val="28"/>
          <w:szCs w:val="32"/>
          <w:highlight w:val="none"/>
          <w:lang w:val="en-US" w:eastAsia="zh-CN"/>
        </w:rPr>
        <w:t>始兴的进程。</w:t>
      </w:r>
    </w:p>
    <w:p w14:paraId="10858D61">
      <w:pPr>
        <w:numPr>
          <w:ilvl w:val="0"/>
          <w:numId w:val="0"/>
        </w:numPr>
        <w:spacing w:line="360" w:lineRule="auto"/>
        <w:ind w:firstLine="640" w:firstLineChars="200"/>
        <w:rPr>
          <w:rFonts w:hint="default" w:ascii="黑体" w:hAnsi="黑体" w:eastAsia="黑体" w:cs="黑体"/>
          <w:b w:val="0"/>
          <w:bCs w:val="0"/>
          <w:color w:val="auto"/>
          <w:sz w:val="32"/>
          <w:szCs w:val="32"/>
          <w:highlight w:val="none"/>
          <w:lang w:val="en-US" w:eastAsia="zh-CN"/>
        </w:rPr>
      </w:pPr>
      <w:bookmarkStart w:id="0" w:name="_Toc25314"/>
      <w:r>
        <w:rPr>
          <w:rFonts w:hint="eastAsia" w:ascii="黑体" w:hAnsi="黑体" w:eastAsia="黑体" w:cs="黑体"/>
          <w:b w:val="0"/>
          <w:bCs w:val="0"/>
          <w:color w:val="auto"/>
          <w:sz w:val="32"/>
          <w:szCs w:val="32"/>
          <w:highlight w:val="none"/>
          <w:lang w:val="en-US" w:eastAsia="zh-CN"/>
        </w:rPr>
        <w:t>二、目标任务</w:t>
      </w:r>
    </w:p>
    <w:p w14:paraId="09EBDB4F">
      <w:pPr>
        <w:spacing w:line="360" w:lineRule="auto"/>
        <w:rPr>
          <w:rFonts w:hint="default" w:ascii="楷体" w:hAnsi="楷体" w:eastAsia="楷体" w:cs="楷体"/>
          <w:b w:val="0"/>
          <w:bCs w:val="0"/>
          <w:color w:val="auto"/>
          <w:sz w:val="28"/>
          <w:szCs w:val="32"/>
          <w:highlight w:val="none"/>
          <w:lang w:val="en-US" w:eastAsia="zh-CN"/>
        </w:rPr>
      </w:pPr>
      <w:r>
        <w:rPr>
          <w:rFonts w:hint="eastAsia" w:ascii="楷体" w:hAnsi="楷体" w:eastAsia="楷体" w:cs="楷体"/>
          <w:b w:val="0"/>
          <w:bCs w:val="0"/>
          <w:color w:val="auto"/>
          <w:sz w:val="28"/>
          <w:szCs w:val="32"/>
          <w:highlight w:val="none"/>
          <w:lang w:val="en-US" w:eastAsia="zh-CN"/>
        </w:rPr>
        <w:t>（一）解决的问题</w:t>
      </w:r>
    </w:p>
    <w:p w14:paraId="1173153E">
      <w:pPr>
        <w:ind w:firstLine="480"/>
        <w:rPr>
          <w:rFonts w:ascii="Times New Roman" w:hAnsi="Times New Roman"/>
          <w:color w:val="auto"/>
          <w:sz w:val="28"/>
          <w:szCs w:val="28"/>
          <w:highlight w:val="none"/>
        </w:rPr>
      </w:pPr>
      <w:r>
        <w:rPr>
          <w:rFonts w:hint="eastAsia" w:ascii="Times New Roman" w:hAnsi="Times New Roman"/>
          <w:color w:val="auto"/>
          <w:sz w:val="28"/>
          <w:szCs w:val="28"/>
          <w:highlight w:val="none"/>
        </w:rPr>
        <w:t>规划实施后，将通过合理布局畜禽养殖场、科学调控养殖规模，进一步推动我县畜禽养殖业持续健康发展，有效减轻畜禽养殖面源污染，降低养殖臭气扰民投诉事件发生率，保障墨江出口国考断面水环境质量稳定达标，整体改善人居环境，提升人民群众的幸福感和满意度。</w:t>
      </w:r>
    </w:p>
    <w:p w14:paraId="03DD7C6E">
      <w:pPr>
        <w:spacing w:line="360" w:lineRule="auto"/>
        <w:rPr>
          <w:rFonts w:hint="default" w:ascii="楷体" w:hAnsi="楷体" w:eastAsia="楷体" w:cs="楷体"/>
          <w:b w:val="0"/>
          <w:bCs w:val="0"/>
          <w:color w:val="auto"/>
          <w:sz w:val="28"/>
          <w:szCs w:val="32"/>
          <w:highlight w:val="none"/>
          <w:lang w:val="en-US" w:eastAsia="zh-CN"/>
        </w:rPr>
      </w:pPr>
      <w:r>
        <w:rPr>
          <w:rFonts w:hint="eastAsia" w:ascii="楷体" w:hAnsi="楷体" w:eastAsia="楷体" w:cs="楷体"/>
          <w:b w:val="0"/>
          <w:bCs w:val="0"/>
          <w:color w:val="auto"/>
          <w:sz w:val="28"/>
          <w:szCs w:val="32"/>
          <w:highlight w:val="none"/>
          <w:lang w:val="en-US" w:eastAsia="zh-CN"/>
        </w:rPr>
        <w:t>（二）目标任务</w:t>
      </w:r>
    </w:p>
    <w:p w14:paraId="17640B45">
      <w:pPr>
        <w:pStyle w:val="5"/>
        <w:rPr>
          <w:rFonts w:ascii="Times New Roman" w:hAnsi="Times New Roman"/>
          <w:color w:val="auto"/>
          <w:sz w:val="28"/>
          <w:szCs w:val="28"/>
          <w:highlight w:val="none"/>
        </w:rPr>
      </w:pPr>
      <w:r>
        <w:rPr>
          <w:rFonts w:hint="eastAsia" w:ascii="Times New Roman" w:hAnsi="Times New Roman"/>
          <w:color w:val="auto"/>
          <w:sz w:val="28"/>
          <w:szCs w:val="28"/>
          <w:highlight w:val="none"/>
        </w:rPr>
        <w:t>畜禽养殖业污染防治规划的总体目标：以始兴县国土空间总体规划（2021</w:t>
      </w:r>
      <w:r>
        <w:rPr>
          <w:rFonts w:hint="eastAsia"/>
          <w:color w:val="auto"/>
          <w:sz w:val="28"/>
          <w:szCs w:val="28"/>
          <w:highlight w:val="none"/>
          <w:lang w:eastAsia="zh-CN"/>
        </w:rPr>
        <w:t>—</w:t>
      </w:r>
      <w:r>
        <w:rPr>
          <w:rFonts w:hint="eastAsia" w:ascii="Times New Roman" w:hAnsi="Times New Roman"/>
          <w:color w:val="auto"/>
          <w:sz w:val="28"/>
          <w:szCs w:val="28"/>
          <w:highlight w:val="none"/>
        </w:rPr>
        <w:t>2035年）</w:t>
      </w:r>
      <w:r>
        <w:rPr>
          <w:rFonts w:hint="eastAsia"/>
          <w:color w:val="auto"/>
          <w:sz w:val="28"/>
          <w:szCs w:val="28"/>
          <w:highlight w:val="none"/>
          <w:lang w:eastAsia="zh-CN"/>
        </w:rPr>
        <w:t>、</w:t>
      </w:r>
      <w:r>
        <w:rPr>
          <w:rFonts w:hint="eastAsia" w:ascii="Times New Roman" w:hAnsi="Times New Roman"/>
          <w:color w:val="auto"/>
          <w:sz w:val="28"/>
          <w:szCs w:val="28"/>
          <w:highlight w:val="none"/>
        </w:rPr>
        <w:t>“</w:t>
      </w:r>
      <w:r>
        <w:rPr>
          <w:rFonts w:hint="eastAsia"/>
          <w:color w:val="auto"/>
          <w:sz w:val="28"/>
          <w:szCs w:val="28"/>
          <w:highlight w:val="none"/>
          <w:lang w:eastAsia="zh-CN"/>
        </w:rPr>
        <w:t>‘三线一单’</w:t>
      </w:r>
      <w:r>
        <w:rPr>
          <w:rFonts w:hint="eastAsia" w:ascii="Times New Roman" w:hAnsi="Times New Roman"/>
          <w:color w:val="auto"/>
          <w:sz w:val="28"/>
          <w:szCs w:val="28"/>
          <w:highlight w:val="none"/>
        </w:rPr>
        <w:t>管控要求”、城市总体规划和其他规划为基础、依据和引导，大力倡导发展生态养殖业，因地制宜地建设粪污收集、贮存、处理、利用设施，实现粪污资源化利用，从而促进畜禽养殖业的持续健康发展。逐步完善畜禽养殖业污染物收集、处理系统，加快高效生态养殖业的建设，逐步实现畜禽养殖污染物的资源化利用，确保县域主要河流水质良好和饮用水安全</w:t>
      </w:r>
      <w:r>
        <w:rPr>
          <w:rFonts w:ascii="Times New Roman" w:hAnsi="Times New Roman"/>
          <w:color w:val="auto"/>
          <w:sz w:val="28"/>
          <w:szCs w:val="28"/>
          <w:highlight w:val="none"/>
        </w:rPr>
        <w:t>。</w:t>
      </w:r>
    </w:p>
    <w:p w14:paraId="3D0CE1EC">
      <w:pPr>
        <w:pStyle w:val="5"/>
        <w:rPr>
          <w:rFonts w:hint="default"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eastAsia="zh-CN"/>
        </w:rPr>
        <w:t>（</w:t>
      </w:r>
      <w:r>
        <w:rPr>
          <w:rFonts w:hint="eastAsia" w:ascii="Times New Roman" w:hAnsi="Times New Roman"/>
          <w:b w:val="0"/>
          <w:bCs w:val="0"/>
          <w:color w:val="auto"/>
          <w:sz w:val="28"/>
          <w:szCs w:val="28"/>
          <w:highlight w:val="none"/>
          <w:lang w:val="en-US" w:eastAsia="zh-CN"/>
        </w:rPr>
        <w:t>1</w:t>
      </w:r>
      <w:r>
        <w:rPr>
          <w:rFonts w:hint="eastAsia" w:ascii="Times New Roman" w:hAnsi="Times New Roman"/>
          <w:b w:val="0"/>
          <w:bCs w:val="0"/>
          <w:color w:val="auto"/>
          <w:sz w:val="28"/>
          <w:szCs w:val="28"/>
          <w:highlight w:val="none"/>
          <w:lang w:eastAsia="zh-CN"/>
        </w:rPr>
        <w:t>）</w:t>
      </w:r>
      <w:r>
        <w:rPr>
          <w:rFonts w:hint="eastAsia" w:ascii="Times New Roman" w:hAnsi="Times New Roman"/>
          <w:b w:val="0"/>
          <w:bCs w:val="0"/>
          <w:color w:val="auto"/>
          <w:sz w:val="28"/>
          <w:szCs w:val="28"/>
          <w:highlight w:val="none"/>
          <w:lang w:val="en-US" w:eastAsia="zh-CN"/>
        </w:rPr>
        <w:t>2024-2025目标和指标</w:t>
      </w:r>
    </w:p>
    <w:p w14:paraId="6F4B671C">
      <w:pPr>
        <w:ind w:firstLine="480"/>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到2025年始兴县畜禽粪污资源化利用率大于等于80%，畜禽尸体处理处置率为100%，畜禽尸体处理处置率为100%，规模养殖场粪污处理设施装备配套率大于等于97%，畜禽规模养殖场粪污资源化利用台账建设率、达标排放的畜禽规模养殖场自行监测覆盖率和畜禽养殖规模化率控制在国家、省和市下达指标要求。</w:t>
      </w:r>
    </w:p>
    <w:p w14:paraId="0B1E0170">
      <w:pPr>
        <w:ind w:firstLine="480"/>
        <w:rPr>
          <w:rFonts w:hint="eastAsia" w:ascii="Times New Roman" w:hAnsi="Times New Roman"/>
          <w:b w:val="0"/>
          <w:bCs w:val="0"/>
          <w:color w:val="auto"/>
          <w:sz w:val="28"/>
          <w:szCs w:val="28"/>
          <w:highlight w:val="none"/>
          <w:lang w:eastAsia="zh-CN"/>
        </w:rPr>
      </w:pPr>
      <w:r>
        <w:rPr>
          <w:rFonts w:hint="eastAsia" w:ascii="Times New Roman" w:hAnsi="Times New Roman"/>
          <w:b w:val="0"/>
          <w:bCs w:val="0"/>
          <w:color w:val="auto"/>
          <w:sz w:val="28"/>
          <w:szCs w:val="28"/>
          <w:highlight w:val="none"/>
          <w:lang w:eastAsia="zh-CN"/>
        </w:rPr>
        <w:t>（</w:t>
      </w:r>
      <w:r>
        <w:rPr>
          <w:rFonts w:hint="eastAsia" w:ascii="Times New Roman" w:hAnsi="Times New Roman"/>
          <w:b w:val="0"/>
          <w:bCs w:val="0"/>
          <w:color w:val="auto"/>
          <w:sz w:val="28"/>
          <w:szCs w:val="28"/>
          <w:highlight w:val="none"/>
          <w:lang w:val="en-US" w:eastAsia="zh-CN"/>
        </w:rPr>
        <w:t>2</w:t>
      </w:r>
      <w:r>
        <w:rPr>
          <w:rFonts w:hint="eastAsia" w:ascii="Times New Roman" w:hAnsi="Times New Roman"/>
          <w:b w:val="0"/>
          <w:bCs w:val="0"/>
          <w:color w:val="auto"/>
          <w:sz w:val="28"/>
          <w:szCs w:val="28"/>
          <w:highlight w:val="none"/>
          <w:lang w:eastAsia="zh-CN"/>
        </w:rPr>
        <w:t>）20</w:t>
      </w:r>
      <w:r>
        <w:rPr>
          <w:rFonts w:hint="eastAsia" w:ascii="Times New Roman" w:hAnsi="Times New Roman"/>
          <w:b w:val="0"/>
          <w:bCs w:val="0"/>
          <w:color w:val="auto"/>
          <w:sz w:val="28"/>
          <w:szCs w:val="28"/>
          <w:highlight w:val="none"/>
          <w:lang w:val="en-US" w:eastAsia="zh-CN"/>
        </w:rPr>
        <w:t>26</w:t>
      </w:r>
      <w:r>
        <w:rPr>
          <w:rFonts w:hint="eastAsia" w:ascii="Times New Roman" w:hAnsi="Times New Roman"/>
          <w:b w:val="0"/>
          <w:bCs w:val="0"/>
          <w:color w:val="auto"/>
          <w:sz w:val="28"/>
          <w:szCs w:val="28"/>
          <w:highlight w:val="none"/>
          <w:lang w:eastAsia="zh-CN"/>
        </w:rPr>
        <w:t>-20</w:t>
      </w:r>
      <w:r>
        <w:rPr>
          <w:rFonts w:hint="eastAsia" w:ascii="Times New Roman" w:hAnsi="Times New Roman"/>
          <w:b w:val="0"/>
          <w:bCs w:val="0"/>
          <w:color w:val="auto"/>
          <w:sz w:val="28"/>
          <w:szCs w:val="28"/>
          <w:highlight w:val="none"/>
          <w:lang w:val="en-US" w:eastAsia="zh-CN"/>
        </w:rPr>
        <w:t>30</w:t>
      </w:r>
      <w:r>
        <w:rPr>
          <w:rFonts w:hint="eastAsia" w:ascii="Times New Roman" w:hAnsi="Times New Roman"/>
          <w:b w:val="0"/>
          <w:bCs w:val="0"/>
          <w:color w:val="auto"/>
          <w:sz w:val="28"/>
          <w:szCs w:val="28"/>
          <w:highlight w:val="none"/>
          <w:lang w:eastAsia="zh-CN"/>
        </w:rPr>
        <w:t>目标和指标</w:t>
      </w:r>
    </w:p>
    <w:p w14:paraId="68CC559A">
      <w:pPr>
        <w:pStyle w:val="5"/>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到2030年始兴县畜禽尸体处理处置率为100%，畜禽粪污资源化利用率、规模养殖场粪污处理设施装备配套率、畜禽规模养殖场粪污资源化利用台账建设率、达标排放的畜禽规模养殖场自行监测覆盖率及畜禽养殖规模化率控制在国家、省和市下达指标要求。</w:t>
      </w:r>
    </w:p>
    <w:bookmarkEnd w:id="0"/>
    <w:p w14:paraId="57A37435">
      <w:pPr>
        <w:spacing w:line="360" w:lineRule="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三、主要内容</w:t>
      </w:r>
    </w:p>
    <w:p w14:paraId="5ED84F06">
      <w:pPr>
        <w:spacing w:line="360" w:lineRule="auto"/>
        <w:rPr>
          <w:rFonts w:hint="default" w:ascii="楷体" w:hAnsi="楷体" w:eastAsia="楷体" w:cs="楷体"/>
          <w:b w:val="0"/>
          <w:bCs w:val="0"/>
          <w:color w:val="auto"/>
          <w:sz w:val="28"/>
          <w:szCs w:val="32"/>
          <w:highlight w:val="none"/>
          <w:lang w:val="en-US" w:eastAsia="zh-CN"/>
        </w:rPr>
      </w:pPr>
      <w:r>
        <w:rPr>
          <w:rFonts w:hint="eastAsia" w:ascii="楷体" w:hAnsi="楷体" w:eastAsia="楷体" w:cs="楷体"/>
          <w:b w:val="0"/>
          <w:bCs w:val="0"/>
          <w:color w:val="auto"/>
          <w:sz w:val="28"/>
          <w:szCs w:val="32"/>
          <w:highlight w:val="none"/>
          <w:lang w:val="en-US" w:eastAsia="zh-CN"/>
        </w:rPr>
        <w:t>（一）规划范围和规划期限</w:t>
      </w:r>
    </w:p>
    <w:p w14:paraId="76BF9A89">
      <w:pPr>
        <w:spacing w:line="360" w:lineRule="auto"/>
        <w:rPr>
          <w:rFonts w:hint="eastAsia" w:ascii="Times New Roman" w:hAnsi="Times New Roman"/>
          <w:color w:val="auto"/>
          <w:sz w:val="28"/>
          <w:szCs w:val="21"/>
          <w:highlight w:val="none"/>
        </w:rPr>
      </w:pPr>
      <w:bookmarkStart w:id="1" w:name="_Toc25718"/>
      <w:r>
        <w:rPr>
          <w:rFonts w:hint="eastAsia" w:ascii="Times New Roman" w:hAnsi="Times New Roman"/>
          <w:color w:val="auto"/>
          <w:sz w:val="28"/>
          <w:szCs w:val="21"/>
          <w:highlight w:val="none"/>
        </w:rPr>
        <w:t>项目规划范围为始兴县辖区范围内太平镇、马市镇、顿岗镇、罗坝镇、城南镇、沈所镇、司前镇、隘子镇、澄江镇9个镇和深渡水瑶族乡，规划面积为2131km</w:t>
      </w:r>
      <w:r>
        <w:rPr>
          <w:rFonts w:hint="eastAsia" w:ascii="Times New Roman" w:hAnsi="Times New Roman"/>
          <w:color w:val="auto"/>
          <w:sz w:val="28"/>
          <w:szCs w:val="21"/>
          <w:highlight w:val="none"/>
          <w:vertAlign w:val="superscript"/>
        </w:rPr>
        <w:t>2</w:t>
      </w:r>
      <w:r>
        <w:rPr>
          <w:rFonts w:hint="eastAsia" w:ascii="Times New Roman" w:hAnsi="Times New Roman"/>
          <w:color w:val="auto"/>
          <w:sz w:val="28"/>
          <w:szCs w:val="21"/>
          <w:highlight w:val="none"/>
        </w:rPr>
        <w:t>。</w:t>
      </w:r>
    </w:p>
    <w:bookmarkEnd w:id="1"/>
    <w:p w14:paraId="5496C014">
      <w:pPr>
        <w:snapToGrid w:val="0"/>
        <w:ind w:firstLine="480"/>
        <w:rPr>
          <w:rFonts w:hint="eastAsia" w:ascii="Times New Roman" w:hAnsi="Times New Roman"/>
          <w:color w:val="auto"/>
          <w:sz w:val="28"/>
          <w:szCs w:val="21"/>
          <w:highlight w:val="none"/>
        </w:rPr>
      </w:pPr>
      <w:r>
        <w:rPr>
          <w:rFonts w:hint="eastAsia" w:ascii="Times New Roman" w:hAnsi="Times New Roman"/>
          <w:color w:val="auto"/>
          <w:sz w:val="28"/>
          <w:szCs w:val="21"/>
          <w:highlight w:val="none"/>
        </w:rPr>
        <w:t>规划基准年为2023年，规划期限为2024</w:t>
      </w:r>
      <w:r>
        <w:rPr>
          <w:rFonts w:hint="eastAsia"/>
          <w:color w:val="auto"/>
          <w:sz w:val="28"/>
          <w:szCs w:val="21"/>
          <w:highlight w:val="none"/>
          <w:lang w:eastAsia="zh-CN"/>
        </w:rPr>
        <w:t>—</w:t>
      </w:r>
      <w:r>
        <w:rPr>
          <w:rFonts w:hint="eastAsia" w:ascii="Times New Roman" w:hAnsi="Times New Roman"/>
          <w:color w:val="auto"/>
          <w:sz w:val="28"/>
          <w:szCs w:val="21"/>
          <w:highlight w:val="none"/>
        </w:rPr>
        <w:t>2030年，其中近期规划为2024</w:t>
      </w:r>
      <w:r>
        <w:rPr>
          <w:rFonts w:hint="eastAsia"/>
          <w:color w:val="auto"/>
          <w:sz w:val="28"/>
          <w:szCs w:val="21"/>
          <w:highlight w:val="none"/>
          <w:lang w:eastAsia="zh-CN"/>
        </w:rPr>
        <w:t>—</w:t>
      </w:r>
      <w:r>
        <w:rPr>
          <w:rFonts w:hint="eastAsia" w:ascii="Times New Roman" w:hAnsi="Times New Roman"/>
          <w:color w:val="auto"/>
          <w:sz w:val="28"/>
          <w:szCs w:val="21"/>
          <w:highlight w:val="none"/>
        </w:rPr>
        <w:t>2025年，中远期规划为2026</w:t>
      </w:r>
      <w:r>
        <w:rPr>
          <w:rFonts w:hint="eastAsia"/>
          <w:color w:val="auto"/>
          <w:sz w:val="28"/>
          <w:szCs w:val="21"/>
          <w:highlight w:val="none"/>
          <w:lang w:eastAsia="zh-CN"/>
        </w:rPr>
        <w:t>—</w:t>
      </w:r>
      <w:r>
        <w:rPr>
          <w:rFonts w:hint="eastAsia" w:ascii="Times New Roman" w:hAnsi="Times New Roman"/>
          <w:color w:val="auto"/>
          <w:sz w:val="28"/>
          <w:szCs w:val="21"/>
          <w:highlight w:val="none"/>
        </w:rPr>
        <w:t>2030年。</w:t>
      </w:r>
    </w:p>
    <w:p w14:paraId="17512C06">
      <w:pPr>
        <w:pStyle w:val="5"/>
        <w:rPr>
          <w:rFonts w:hint="eastAsia" w:ascii="楷体" w:hAnsi="楷体" w:eastAsia="楷体" w:cs="楷体"/>
          <w:b w:val="0"/>
          <w:bCs w:val="0"/>
          <w:color w:val="auto"/>
          <w:sz w:val="28"/>
          <w:szCs w:val="32"/>
          <w:highlight w:val="none"/>
          <w:lang w:val="en-US" w:eastAsia="zh-CN"/>
        </w:rPr>
      </w:pPr>
      <w:r>
        <w:rPr>
          <w:rFonts w:hint="eastAsia" w:ascii="楷体" w:hAnsi="楷体" w:eastAsia="楷体" w:cs="楷体"/>
          <w:b w:val="0"/>
          <w:bCs w:val="0"/>
          <w:color w:val="auto"/>
          <w:sz w:val="28"/>
          <w:szCs w:val="32"/>
          <w:highlight w:val="none"/>
          <w:lang w:val="en-US" w:eastAsia="zh-CN"/>
        </w:rPr>
        <w:t>（二）《规划》正文分为十</w:t>
      </w:r>
      <w:bookmarkStart w:id="2" w:name="_GoBack"/>
      <w:bookmarkEnd w:id="2"/>
      <w:r>
        <w:rPr>
          <w:rFonts w:hint="eastAsia" w:ascii="楷体" w:hAnsi="楷体" w:eastAsia="楷体" w:cs="楷体"/>
          <w:b w:val="0"/>
          <w:bCs w:val="0"/>
          <w:color w:val="auto"/>
          <w:sz w:val="28"/>
          <w:szCs w:val="32"/>
          <w:highlight w:val="none"/>
          <w:lang w:val="en-US" w:eastAsia="zh-CN"/>
        </w:rPr>
        <w:t>部分</w:t>
      </w:r>
    </w:p>
    <w:p w14:paraId="7C04222F">
      <w:pPr>
        <w:pStyle w:val="5"/>
        <w:rPr>
          <w:rFonts w:hint="eastAsia" w:ascii="Times New Roman" w:hAnsi="Times New Roman" w:eastAsia="仿宋" w:cs="Times New Roman"/>
          <w:color w:val="auto"/>
          <w:sz w:val="28"/>
          <w:szCs w:val="21"/>
          <w:highlight w:val="none"/>
          <w:lang w:val="en-US" w:eastAsia="zh-CN"/>
        </w:rPr>
      </w:pPr>
      <w:r>
        <w:rPr>
          <w:rFonts w:hint="eastAsia" w:ascii="Times New Roman" w:hAnsi="Times New Roman" w:eastAsia="仿宋" w:cs="Times New Roman"/>
          <w:color w:val="auto"/>
          <w:sz w:val="28"/>
          <w:szCs w:val="21"/>
          <w:highlight w:val="none"/>
          <w:lang w:val="en-US" w:eastAsia="zh-CN"/>
        </w:rPr>
        <w:t>第一部分“总论”。主要明确了规划背景、规划范围和期限、规划编制的目的和意义，编制依据和畜禽养殖场规模认定依据。</w:t>
      </w:r>
    </w:p>
    <w:p w14:paraId="14181426">
      <w:pPr>
        <w:pStyle w:val="5"/>
        <w:rPr>
          <w:rFonts w:hint="eastAsia" w:ascii="Times New Roman" w:hAnsi="Times New Roman" w:eastAsia="仿宋" w:cs="Times New Roman"/>
          <w:color w:val="auto"/>
          <w:sz w:val="28"/>
          <w:szCs w:val="21"/>
          <w:highlight w:val="none"/>
          <w:lang w:val="en-US" w:eastAsia="zh-CN"/>
        </w:rPr>
      </w:pPr>
      <w:r>
        <w:rPr>
          <w:rFonts w:hint="eastAsia" w:ascii="Times New Roman" w:hAnsi="Times New Roman" w:eastAsia="仿宋" w:cs="Times New Roman"/>
          <w:color w:val="auto"/>
          <w:sz w:val="28"/>
          <w:szCs w:val="21"/>
          <w:highlight w:val="none"/>
          <w:lang w:val="en-US" w:eastAsia="zh-CN"/>
        </w:rPr>
        <w:t>第二部分“区域概况”。主要概述了始兴县自然概况、社会概况、始兴县环境质量和现有污染防治措施概况。</w:t>
      </w:r>
    </w:p>
    <w:p w14:paraId="491864D5">
      <w:pPr>
        <w:pStyle w:val="5"/>
        <w:rPr>
          <w:rFonts w:hint="eastAsia" w:ascii="Times New Roman" w:hAnsi="Times New Roman" w:eastAsia="仿宋" w:cs="Times New Roman"/>
          <w:color w:val="auto"/>
          <w:sz w:val="28"/>
          <w:szCs w:val="21"/>
          <w:highlight w:val="none"/>
          <w:lang w:val="en-US" w:eastAsia="zh-CN"/>
        </w:rPr>
      </w:pPr>
      <w:r>
        <w:rPr>
          <w:rFonts w:hint="eastAsia" w:ascii="Times New Roman" w:hAnsi="Times New Roman" w:eastAsia="仿宋" w:cs="Times New Roman"/>
          <w:color w:val="auto"/>
          <w:sz w:val="28"/>
          <w:szCs w:val="21"/>
          <w:highlight w:val="none"/>
          <w:lang w:val="en-US" w:eastAsia="zh-CN"/>
        </w:rPr>
        <w:t>第三部分“始兴县畜禽养殖现状”。主要概述了始兴县畜禽养殖基本情况，污染物产生情况，污染物处理方式和现状，畜禽粪污资源化利用现状，始兴县畜禽养殖业存在的环境问题。</w:t>
      </w:r>
    </w:p>
    <w:p w14:paraId="336C5534">
      <w:pPr>
        <w:pStyle w:val="5"/>
        <w:rPr>
          <w:rFonts w:hint="eastAsia" w:ascii="Times New Roman" w:hAnsi="Times New Roman" w:eastAsia="仿宋" w:cs="Times New Roman"/>
          <w:color w:val="auto"/>
          <w:sz w:val="28"/>
          <w:szCs w:val="21"/>
          <w:highlight w:val="none"/>
          <w:lang w:val="en-US" w:eastAsia="zh-CN"/>
        </w:rPr>
      </w:pPr>
      <w:r>
        <w:rPr>
          <w:rFonts w:hint="eastAsia" w:ascii="Times New Roman" w:hAnsi="Times New Roman" w:eastAsia="仿宋" w:cs="Times New Roman"/>
          <w:color w:val="auto"/>
          <w:sz w:val="28"/>
          <w:szCs w:val="21"/>
          <w:highlight w:val="none"/>
          <w:lang w:val="en-US" w:eastAsia="zh-CN"/>
        </w:rPr>
        <w:t>第四部分“规划目标”。主要明确了规划目标、畜禽粪污土地承载力情况，目标可达性分析和与相关规划衔接情况。</w:t>
      </w:r>
    </w:p>
    <w:p w14:paraId="3F38FDC4">
      <w:pPr>
        <w:pStyle w:val="5"/>
        <w:rPr>
          <w:rFonts w:hint="eastAsia" w:ascii="Times New Roman" w:hAnsi="Times New Roman" w:eastAsia="仿宋" w:cs="Times New Roman"/>
          <w:color w:val="auto"/>
          <w:sz w:val="28"/>
          <w:szCs w:val="21"/>
          <w:highlight w:val="none"/>
          <w:lang w:val="en-US" w:eastAsia="zh-CN"/>
        </w:rPr>
      </w:pPr>
      <w:r>
        <w:rPr>
          <w:rFonts w:hint="eastAsia" w:ascii="Times New Roman" w:hAnsi="Times New Roman" w:eastAsia="仿宋" w:cs="Times New Roman"/>
          <w:color w:val="auto"/>
          <w:sz w:val="28"/>
          <w:szCs w:val="21"/>
          <w:highlight w:val="none"/>
          <w:lang w:val="en-US" w:eastAsia="zh-CN"/>
        </w:rPr>
        <w:t>第五部分“主要任务”。主要明确了始兴县畜禽养殖总体原则和主要任务。</w:t>
      </w:r>
    </w:p>
    <w:p w14:paraId="5FFDA536">
      <w:pPr>
        <w:pStyle w:val="5"/>
        <w:rPr>
          <w:rFonts w:hint="eastAsia" w:ascii="Times New Roman" w:hAnsi="Times New Roman" w:eastAsia="仿宋" w:cs="Times New Roman"/>
          <w:color w:val="auto"/>
          <w:sz w:val="28"/>
          <w:szCs w:val="21"/>
          <w:highlight w:val="none"/>
          <w:lang w:val="en-US" w:eastAsia="zh-CN"/>
        </w:rPr>
      </w:pPr>
      <w:r>
        <w:rPr>
          <w:rFonts w:hint="eastAsia" w:ascii="Times New Roman" w:hAnsi="Times New Roman" w:eastAsia="仿宋" w:cs="Times New Roman"/>
          <w:color w:val="auto"/>
          <w:sz w:val="28"/>
          <w:szCs w:val="21"/>
          <w:highlight w:val="none"/>
          <w:lang w:val="en-US" w:eastAsia="zh-CN"/>
        </w:rPr>
        <w:t>第六部分“重点工程”。主要明确了规划期内的重点工程。</w:t>
      </w:r>
    </w:p>
    <w:p w14:paraId="0146CA53">
      <w:pPr>
        <w:pStyle w:val="5"/>
        <w:rPr>
          <w:rFonts w:hint="eastAsia" w:ascii="Times New Roman" w:hAnsi="Times New Roman" w:eastAsia="仿宋" w:cs="Times New Roman"/>
          <w:color w:val="auto"/>
          <w:sz w:val="28"/>
          <w:szCs w:val="21"/>
          <w:highlight w:val="none"/>
          <w:lang w:val="en-US" w:eastAsia="zh-CN"/>
        </w:rPr>
      </w:pPr>
      <w:r>
        <w:rPr>
          <w:rFonts w:hint="eastAsia" w:ascii="Times New Roman" w:hAnsi="Times New Roman" w:eastAsia="仿宋" w:cs="Times New Roman"/>
          <w:color w:val="auto"/>
          <w:sz w:val="28"/>
          <w:szCs w:val="21"/>
          <w:highlight w:val="none"/>
          <w:lang w:val="en-US" w:eastAsia="zh-CN"/>
        </w:rPr>
        <w:t>第七部分“项目概算与资金措施”。主要概述了项目资金概算和资金筹措方式。</w:t>
      </w:r>
    </w:p>
    <w:p w14:paraId="4AA29BF2">
      <w:pPr>
        <w:pStyle w:val="5"/>
        <w:rPr>
          <w:rFonts w:hint="eastAsia" w:ascii="Times New Roman" w:hAnsi="Times New Roman" w:eastAsia="仿宋" w:cs="Times New Roman"/>
          <w:color w:val="auto"/>
          <w:sz w:val="28"/>
          <w:szCs w:val="21"/>
          <w:highlight w:val="none"/>
          <w:lang w:val="en-US" w:eastAsia="zh-CN"/>
        </w:rPr>
      </w:pPr>
      <w:r>
        <w:rPr>
          <w:rFonts w:hint="eastAsia" w:ascii="Times New Roman" w:hAnsi="Times New Roman" w:eastAsia="仿宋" w:cs="Times New Roman"/>
          <w:color w:val="auto"/>
          <w:sz w:val="28"/>
          <w:szCs w:val="21"/>
          <w:highlight w:val="none"/>
          <w:lang w:val="en-US" w:eastAsia="zh-CN"/>
        </w:rPr>
        <w:t>第</w:t>
      </w:r>
      <w:r>
        <w:rPr>
          <w:rFonts w:hint="eastAsia" w:ascii="Times New Roman" w:hAnsi="Times New Roman" w:cs="Times New Roman"/>
          <w:color w:val="auto"/>
          <w:sz w:val="28"/>
          <w:szCs w:val="21"/>
          <w:highlight w:val="none"/>
          <w:lang w:val="en-US" w:eastAsia="zh-CN"/>
        </w:rPr>
        <w:t>八</w:t>
      </w:r>
      <w:r>
        <w:rPr>
          <w:rFonts w:hint="eastAsia" w:ascii="Times New Roman" w:hAnsi="Times New Roman" w:eastAsia="仿宋" w:cs="Times New Roman"/>
          <w:color w:val="auto"/>
          <w:sz w:val="28"/>
          <w:szCs w:val="21"/>
          <w:highlight w:val="none"/>
          <w:lang w:val="en-US" w:eastAsia="zh-CN"/>
        </w:rPr>
        <w:t>部分“效益分析”。概述了规划的经济效益，环境效益和社会效益。</w:t>
      </w:r>
    </w:p>
    <w:p w14:paraId="456F3F84">
      <w:pPr>
        <w:pStyle w:val="5"/>
        <w:rPr>
          <w:rFonts w:hint="eastAsia" w:ascii="Times New Roman" w:hAnsi="Times New Roman" w:eastAsia="仿宋" w:cs="Times New Roman"/>
          <w:color w:val="auto"/>
          <w:sz w:val="28"/>
          <w:szCs w:val="21"/>
          <w:highlight w:val="none"/>
          <w:lang w:val="en-US" w:eastAsia="zh-CN"/>
        </w:rPr>
      </w:pPr>
      <w:r>
        <w:rPr>
          <w:rFonts w:hint="eastAsia" w:ascii="Times New Roman" w:hAnsi="Times New Roman" w:eastAsia="仿宋" w:cs="Times New Roman"/>
          <w:color w:val="auto"/>
          <w:sz w:val="28"/>
          <w:szCs w:val="21"/>
          <w:highlight w:val="none"/>
          <w:lang w:val="en-US" w:eastAsia="zh-CN"/>
        </w:rPr>
        <w:t>第</w:t>
      </w:r>
      <w:r>
        <w:rPr>
          <w:rFonts w:hint="eastAsia" w:ascii="Times New Roman" w:hAnsi="Times New Roman" w:cs="Times New Roman"/>
          <w:color w:val="auto"/>
          <w:sz w:val="28"/>
          <w:szCs w:val="21"/>
          <w:highlight w:val="none"/>
          <w:lang w:val="en-US" w:eastAsia="zh-CN"/>
        </w:rPr>
        <w:t>九</w:t>
      </w:r>
      <w:r>
        <w:rPr>
          <w:rFonts w:hint="eastAsia" w:ascii="Times New Roman" w:hAnsi="Times New Roman" w:eastAsia="仿宋" w:cs="Times New Roman"/>
          <w:color w:val="auto"/>
          <w:sz w:val="28"/>
          <w:szCs w:val="21"/>
          <w:highlight w:val="none"/>
          <w:lang w:val="en-US" w:eastAsia="zh-CN"/>
        </w:rPr>
        <w:t>部分“保障措施”。主要明确了规划的政策保障措施、管理保障措施、技术保障措施和社会保障措施。</w:t>
      </w:r>
    </w:p>
    <w:p w14:paraId="3FC1A901">
      <w:pPr>
        <w:pStyle w:val="5"/>
        <w:rPr>
          <w:rFonts w:hint="eastAsia" w:ascii="Times New Roman" w:hAnsi="Times New Roman" w:eastAsia="仿宋" w:cs="Times New Roman"/>
          <w:color w:val="auto"/>
          <w:sz w:val="28"/>
          <w:szCs w:val="21"/>
          <w:highlight w:val="none"/>
          <w:lang w:val="zh-CN" w:eastAsia="zh-CN"/>
        </w:rPr>
      </w:pPr>
      <w:r>
        <w:rPr>
          <w:rFonts w:hint="eastAsia" w:ascii="Times New Roman" w:hAnsi="Times New Roman" w:eastAsia="仿宋" w:cs="Times New Roman"/>
          <w:color w:val="auto"/>
          <w:sz w:val="28"/>
          <w:szCs w:val="21"/>
          <w:highlight w:val="none"/>
          <w:lang w:val="en-US" w:eastAsia="zh-CN"/>
        </w:rPr>
        <w:t>第十部分“项目附件”。主要包括相关附表、图件、相关部门意见采纳情况、专家评审意见和专家意见回复等内容</w:t>
      </w:r>
      <w:r>
        <w:rPr>
          <w:rFonts w:hint="eastAsia" w:ascii="Times New Roman" w:hAnsi="Times New Roman" w:cs="Times New Roman"/>
          <w:color w:val="auto"/>
          <w:sz w:val="28"/>
          <w:szCs w:val="21"/>
          <w:highlight w:val="none"/>
          <w:lang w:val="en-US" w:eastAsia="zh-CN"/>
        </w:rPr>
        <w:t>。</w:t>
      </w:r>
    </w:p>
    <w:p w14:paraId="7059F472">
      <w:pPr>
        <w:spacing w:line="360" w:lineRule="auto"/>
        <w:rPr>
          <w:rFonts w:ascii="Times New Roman" w:hAnsi="Times New Roman"/>
          <w:color w:val="auto"/>
          <w:sz w:val="28"/>
          <w:szCs w:val="32"/>
          <w:highlight w:val="yellow"/>
        </w:rPr>
      </w:pPr>
    </w:p>
    <w:sectPr>
      <w:footerReference r:id="rId5" w:type="default"/>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744B52-721E-47E1-8036-C294B47997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503A8E3-82D0-4444-90E9-552CBB8F5859}"/>
  </w:font>
  <w:font w:name="Arial Unicode MS">
    <w:panose1 w:val="020B0604020202020204"/>
    <w:charset w:val="86"/>
    <w:family w:val="auto"/>
    <w:pitch w:val="default"/>
    <w:sig w:usb0="FFFFFFFF" w:usb1="E9FFFFFF" w:usb2="0000003F" w:usb3="00000000" w:csb0="603F01FF" w:csb1="FFFF0000"/>
    <w:embedRegular r:id="rId3" w:fontKey="{48F71824-D68B-4F7B-8321-9714046D98FD}"/>
  </w:font>
  <w:font w:name="方正仿宋_GB2312">
    <w:panose1 w:val="02000000000000000000"/>
    <w:charset w:val="86"/>
    <w:family w:val="auto"/>
    <w:pitch w:val="default"/>
    <w:sig w:usb0="A00002BF" w:usb1="184F6CFA" w:usb2="00000012" w:usb3="00000000" w:csb0="00040001" w:csb1="00000000"/>
    <w:embedRegular r:id="rId4" w:fontKey="{E379E4E1-A968-4211-A156-E9146EEA4C37}"/>
  </w:font>
  <w:font w:name="楷体">
    <w:panose1 w:val="02010609060101010101"/>
    <w:charset w:val="86"/>
    <w:family w:val="auto"/>
    <w:pitch w:val="default"/>
    <w:sig w:usb0="800002BF" w:usb1="38CF7CFA" w:usb2="00000016" w:usb3="00000000" w:csb0="00040001" w:csb1="00000000"/>
    <w:embedRegular r:id="rId5" w:fontKey="{D65F78C2-8CCF-48EB-BBCC-AD9A4CC90985}"/>
  </w:font>
  <w:font w:name="WPSEMBED1">
    <w:panose1 w:val="020B0604020202020204"/>
    <w:charset w:val="86"/>
    <w:family w:val="auto"/>
    <w:pitch w:val="default"/>
    <w:sig w:usb0="FFFFFFFF" w:usb1="E9FFFFFF" w:usb2="0000003F" w:usb3="00000000" w:csb0="603F01FF" w:csb1="FFFF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F471">
    <w:pPr>
      <w:pStyle w:val="6"/>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99E9C">
                          <w:pPr>
                            <w:pStyle w:val="6"/>
                            <w:ind w:firstLine="360"/>
                            <w:jc w:val="center"/>
                          </w:pPr>
                          <w:r>
                            <w:fldChar w:fldCharType="begin"/>
                          </w:r>
                          <w:r>
                            <w:instrText xml:space="preserve">PAGE   \* MERGEFORMAT</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F999E9C">
                    <w:pPr>
                      <w:pStyle w:val="6"/>
                      <w:ind w:firstLine="360"/>
                      <w:jc w:val="center"/>
                    </w:pPr>
                    <w:r>
                      <w:fldChar w:fldCharType="begin"/>
                    </w:r>
                    <w:r>
                      <w:instrText xml:space="preserve">PAGE   \* MERGEFORMAT</w:instrText>
                    </w:r>
                    <w:r>
                      <w:fldChar w:fldCharType="separate"/>
                    </w:r>
                    <w:r>
                      <w:t>117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MmVhMGMzYzU0ZWU0NDYxZDg2YWZkZDQ0NTg4ZTkifQ=="/>
  </w:docVars>
  <w:rsids>
    <w:rsidRoot w:val="00000000"/>
    <w:rsid w:val="03796216"/>
    <w:rsid w:val="03E234B6"/>
    <w:rsid w:val="046E6DDE"/>
    <w:rsid w:val="057C4091"/>
    <w:rsid w:val="06015294"/>
    <w:rsid w:val="064222D0"/>
    <w:rsid w:val="07117CAE"/>
    <w:rsid w:val="07A41EAB"/>
    <w:rsid w:val="07E13D6B"/>
    <w:rsid w:val="09B434E5"/>
    <w:rsid w:val="0A56087E"/>
    <w:rsid w:val="0BF64289"/>
    <w:rsid w:val="0C9B287A"/>
    <w:rsid w:val="0E7631A9"/>
    <w:rsid w:val="0EEC59D8"/>
    <w:rsid w:val="10B63FE7"/>
    <w:rsid w:val="15555A12"/>
    <w:rsid w:val="15B34F99"/>
    <w:rsid w:val="1664117E"/>
    <w:rsid w:val="166971DF"/>
    <w:rsid w:val="17075B7B"/>
    <w:rsid w:val="19516FA3"/>
    <w:rsid w:val="1A332BC6"/>
    <w:rsid w:val="1A4F0929"/>
    <w:rsid w:val="1C1B3898"/>
    <w:rsid w:val="1C526FDF"/>
    <w:rsid w:val="1C56667E"/>
    <w:rsid w:val="1CBB4733"/>
    <w:rsid w:val="1DA17DCD"/>
    <w:rsid w:val="212C4990"/>
    <w:rsid w:val="23D711B4"/>
    <w:rsid w:val="25A968DD"/>
    <w:rsid w:val="25FF38E2"/>
    <w:rsid w:val="265815C2"/>
    <w:rsid w:val="28013942"/>
    <w:rsid w:val="290238DA"/>
    <w:rsid w:val="2A0C39C4"/>
    <w:rsid w:val="2A6C3468"/>
    <w:rsid w:val="2C1D0F66"/>
    <w:rsid w:val="2DD9710F"/>
    <w:rsid w:val="2F177EEF"/>
    <w:rsid w:val="32506E1A"/>
    <w:rsid w:val="32A01FA9"/>
    <w:rsid w:val="334B2916"/>
    <w:rsid w:val="347E05C3"/>
    <w:rsid w:val="35B74996"/>
    <w:rsid w:val="35E825E5"/>
    <w:rsid w:val="377A726D"/>
    <w:rsid w:val="39276F80"/>
    <w:rsid w:val="394C1552"/>
    <w:rsid w:val="397877DC"/>
    <w:rsid w:val="3AE81AA0"/>
    <w:rsid w:val="3D8A3F82"/>
    <w:rsid w:val="42695BB5"/>
    <w:rsid w:val="44FA6935"/>
    <w:rsid w:val="44FC4958"/>
    <w:rsid w:val="45717F85"/>
    <w:rsid w:val="4654512D"/>
    <w:rsid w:val="4B26346A"/>
    <w:rsid w:val="4BAF6082"/>
    <w:rsid w:val="4C577725"/>
    <w:rsid w:val="4C63256E"/>
    <w:rsid w:val="4CBF4048"/>
    <w:rsid w:val="4F1D4C56"/>
    <w:rsid w:val="5243565C"/>
    <w:rsid w:val="52A86F2C"/>
    <w:rsid w:val="53DE1BB9"/>
    <w:rsid w:val="53FC455C"/>
    <w:rsid w:val="55E95892"/>
    <w:rsid w:val="563A433F"/>
    <w:rsid w:val="578C2978"/>
    <w:rsid w:val="58FC58DC"/>
    <w:rsid w:val="59457283"/>
    <w:rsid w:val="5A647BDD"/>
    <w:rsid w:val="5A6B5717"/>
    <w:rsid w:val="5C115B42"/>
    <w:rsid w:val="5C133668"/>
    <w:rsid w:val="5C70380D"/>
    <w:rsid w:val="5CC20BEA"/>
    <w:rsid w:val="5CF214D0"/>
    <w:rsid w:val="5D6F2B20"/>
    <w:rsid w:val="5EE277B7"/>
    <w:rsid w:val="601B2AEB"/>
    <w:rsid w:val="62620EA5"/>
    <w:rsid w:val="631D39E0"/>
    <w:rsid w:val="63E84CFA"/>
    <w:rsid w:val="652C7867"/>
    <w:rsid w:val="65877C94"/>
    <w:rsid w:val="65C87557"/>
    <w:rsid w:val="6602600F"/>
    <w:rsid w:val="6821710D"/>
    <w:rsid w:val="6828049B"/>
    <w:rsid w:val="695E143F"/>
    <w:rsid w:val="69E14DA6"/>
    <w:rsid w:val="6AD2649C"/>
    <w:rsid w:val="6B460C38"/>
    <w:rsid w:val="6B9110B7"/>
    <w:rsid w:val="6D4B2536"/>
    <w:rsid w:val="6E677021"/>
    <w:rsid w:val="6E7D3CF8"/>
    <w:rsid w:val="70353BEA"/>
    <w:rsid w:val="70457711"/>
    <w:rsid w:val="70860455"/>
    <w:rsid w:val="70FC4273"/>
    <w:rsid w:val="724A182B"/>
    <w:rsid w:val="725325B9"/>
    <w:rsid w:val="72AE683A"/>
    <w:rsid w:val="750F0823"/>
    <w:rsid w:val="75B219BC"/>
    <w:rsid w:val="77D13A93"/>
    <w:rsid w:val="79604C72"/>
    <w:rsid w:val="7BEE3352"/>
    <w:rsid w:val="7BF30969"/>
    <w:rsid w:val="7DF63F0F"/>
    <w:rsid w:val="7EC363D0"/>
    <w:rsid w:val="7FDE382E"/>
    <w:rsid w:val="F4750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 w:cs="Times New Roman"/>
      <w:sz w:val="32"/>
      <w:szCs w:val="22"/>
    </w:rPr>
  </w:style>
  <w:style w:type="paragraph" w:styleId="2">
    <w:name w:val="heading 1"/>
    <w:basedOn w:val="1"/>
    <w:next w:val="1"/>
    <w:qFormat/>
    <w:uiPriority w:val="9"/>
    <w:pPr>
      <w:keepNext/>
      <w:keepLines/>
      <w:spacing w:before="120" w:after="240"/>
      <w:ind w:firstLine="0" w:firstLineChars="0"/>
      <w:outlineLvl w:val="0"/>
    </w:pPr>
    <w:rPr>
      <w:b/>
      <w:bCs/>
      <w:kern w:val="44"/>
      <w:sz w:val="32"/>
      <w:szCs w:val="44"/>
      <w:lang w:val="zh-CN"/>
    </w:rPr>
  </w:style>
  <w:style w:type="paragraph" w:styleId="3">
    <w:name w:val="heading 2"/>
    <w:basedOn w:val="1"/>
    <w:next w:val="1"/>
    <w:qFormat/>
    <w:uiPriority w:val="9"/>
    <w:pPr>
      <w:keepNext/>
      <w:keepLines/>
      <w:spacing w:before="120" w:after="120"/>
      <w:ind w:firstLine="0" w:firstLineChars="0"/>
      <w:outlineLvl w:val="1"/>
    </w:pPr>
    <w:rPr>
      <w:rFonts w:ascii="Times New Roman" w:hAnsi="Times New Roman"/>
      <w:b/>
      <w:bCs/>
      <w:kern w:val="0"/>
      <w:sz w:val="28"/>
      <w:szCs w:val="32"/>
      <w:lang w:val="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99"/>
    <w:rPr>
      <w:rFonts w:ascii="宋体" w:hAnsi="Courier New" w:cs="宋体"/>
      <w:szCs w:val="21"/>
    </w:rPr>
  </w:style>
  <w:style w:type="paragraph" w:styleId="6">
    <w:name w:val="footer"/>
    <w:basedOn w:val="1"/>
    <w:qFormat/>
    <w:uiPriority w:val="0"/>
    <w:pPr>
      <w:tabs>
        <w:tab w:val="center" w:pos="4153"/>
        <w:tab w:val="right" w:pos="8306"/>
      </w:tabs>
      <w:snapToGrid w:val="0"/>
      <w:jc w:val="left"/>
    </w:pPr>
    <w:rPr>
      <w:sz w:val="18"/>
      <w:lang w:val="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d12bbd87-cb1b-4e37-81eb-5fc4e132bee9</errorID>
      <errorWord>区畜禽养殖</errorWord>
      <group>L1_Grammar</group>
      <groupName>语法问题</groupName>
      <ability>L2_Order</ability>
      <abilityName>语序不当</abilityName>
      <candidateList>
        <item>区</item>
      </candidateList>
      <explain>句子可能没有遵循时空、逻辑顺序，或者介词、关联词等位置不当。</explain>
      <paraID>46743D10</paraID>
      <start>55</start>
      <end>60</end>
      <status>ignored</status>
      <modifiedWord/>
      <trackRevisions>false</trackRevisions>
    </reviewItem>
    <reviewItem>
      <errorID>f7c77977-b4d5-43e2-8b1b-6298724cf316</errorID>
      <errorWord>绿色、开放、共享的发展理念</errorWord>
      <group>L1_Word</group>
      <groupName>字词问题</groupName>
      <ability>L2_Typo</ability>
      <abilityName>字词错误</abilityName>
      <candidateList>
        <item>绿色、开放、共享的新发展理念</item>
      </candidateList>
      <explain/>
      <paraID>5805C0F5</paraID>
      <start>11</start>
      <end>24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cda8c7-26ec-40bd-a4ea-07007b6c9e93}">
  <ds:schemaRefs/>
</ds:datastoreItem>
</file>

<file path=docProps/app.xml><?xml version="1.0" encoding="utf-8"?>
<Properties xmlns="http://schemas.openxmlformats.org/officeDocument/2006/extended-properties" xmlns:vt="http://schemas.openxmlformats.org/officeDocument/2006/docPropsVTypes">
  <Pages>4</Pages>
  <Words>1722</Words>
  <Characters>1809</Characters>
  <TotalTime>3</TotalTime>
  <ScaleCrop>false</ScaleCrop>
  <LinksUpToDate>false</LinksUpToDate>
  <CharactersWithSpaces>1810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2024-08-19T18:57:00Z</dcterms:created>
  <dc:creator>lyx49</dc:creator>
  <cp:lastModifiedBy>田小田</cp:lastModifiedBy>
  <dcterms:modified xsi:type="dcterms:W3CDTF">2026-04-27T01:11:39Z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B1897CDF7DC74E3B8A97F3A112970EAF_13</vt:lpwstr>
  </property>
  <property fmtid="{D5CDD505-2E9C-101B-9397-08002B2CF9AE}" pid="4" name="KSOTemplateDocerSaveRecord">
    <vt:lpwstr>eyJoZGlkIjoiNGE2MjZiMjRmMTM2MTIxMGVkOGEzMzI4MjFhYzA3MzUiLCJ1c2VySWQiOiIzMjc0MjIwMTIifQ==</vt:lpwstr>
  </property>
</Properties>
</file>