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813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始兴县2025年农村集中式饮用水水源保护区划定（调整）技术报告（征求意见稿）</w:t>
      </w:r>
    </w:p>
    <w:p w14:paraId="46661C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政策解读</w:t>
      </w:r>
    </w:p>
    <w:p w14:paraId="49EDC995">
      <w:pPr>
        <w:rPr>
          <w:rFonts w:hint="eastAsia" w:ascii="黑体" w:hAnsi="黑体" w:eastAsia="黑体" w:cs="黑体"/>
        </w:rPr>
      </w:pPr>
      <w:r>
        <w:rPr>
          <w:rFonts w:hint="eastAsia" w:ascii="黑体" w:hAnsi="黑体" w:eastAsia="黑体" w:cs="黑体"/>
        </w:rPr>
        <w:t>一、背景依据</w:t>
      </w:r>
    </w:p>
    <w:p w14:paraId="2B5DDC0F">
      <w:pPr>
        <w:rPr>
          <w:rFonts w:hint="eastAsia"/>
        </w:rPr>
      </w:pPr>
      <w:r>
        <w:rPr>
          <w:rFonts w:hint="eastAsia" w:ascii="仿宋_GB2312" w:hAnsi="仿宋_GB2312" w:eastAsia="仿宋_GB2312" w:cs="仿宋_GB2312"/>
        </w:rPr>
        <w:t>为全面贯彻落实国家、省、市关于饮用水水源保护的相关要求，切实保障全县农村群众饮水安全，始兴县人民政府</w:t>
      </w:r>
      <w:r>
        <w:rPr>
          <w:rFonts w:hint="eastAsia" w:ascii="仿宋_GB2312" w:hAnsi="仿宋_GB2312" w:cs="仿宋_GB2312"/>
          <w:lang w:val="en-US" w:eastAsia="zh-CN"/>
        </w:rPr>
        <w:t>编编制</w:t>
      </w:r>
      <w:r>
        <w:rPr>
          <w:rFonts w:hint="eastAsia" w:ascii="仿宋_GB2312" w:hAnsi="仿宋_GB2312" w:eastAsia="仿宋_GB2312" w:cs="仿宋_GB2312"/>
        </w:rPr>
        <w:t>《始兴县2025年农村集中式饮用水水源保护区划定（调整）技术报告（征求意见稿）》（以下简称《技术报告》）。</w:t>
      </w:r>
    </w:p>
    <w:p w14:paraId="42B10B0D">
      <w:pPr>
        <w:rPr>
          <w:rFonts w:hint="eastAsia" w:ascii="楷体_GB2312" w:hAnsi="楷体_GB2312" w:eastAsia="楷体_GB2312" w:cs="楷体_GB2312"/>
        </w:rPr>
      </w:pPr>
      <w:r>
        <w:rPr>
          <w:rFonts w:hint="eastAsia" w:ascii="楷体_GB2312" w:hAnsi="楷体_GB2312" w:eastAsia="楷体_GB2312" w:cs="楷体_GB2312"/>
        </w:rPr>
        <w:t>（一）上级政策刚性要求</w:t>
      </w:r>
    </w:p>
    <w:p w14:paraId="10D78CAD">
      <w:pPr>
        <w:rPr>
          <w:rFonts w:hint="eastAsia" w:ascii="仿宋_GB2312" w:hAnsi="仿宋_GB2312" w:eastAsia="仿宋_GB2312" w:cs="仿宋_GB2312"/>
        </w:rPr>
      </w:pPr>
      <w:r>
        <w:rPr>
          <w:rFonts w:hint="eastAsia" w:ascii="仿宋_GB2312" w:hAnsi="仿宋_GB2312" w:eastAsia="仿宋_GB2312" w:cs="仿宋_GB2312"/>
        </w:rPr>
        <w:t>党中央、国务院高度重视饮用水安全工作。国务院2005年印发《关于落实科学发展观加强环境保护的决定》（国发〔2005〕39号），提出以饮水安全和重点流域治理为重点，加强水污染防治，科学划定和调整饮用水水源保护区，加强饮用水水源保护，解决农村饮水安全问题，取缔水源保护区内直接排污口，严防养殖业污染水源，禁止有毒有害物质进入饮用水水源保护区，强化水污染事故预防和应急处理，确保群众饮水安全。</w:t>
      </w:r>
    </w:p>
    <w:p w14:paraId="085F42FB">
      <w:pPr>
        <w:rPr>
          <w:rFonts w:hint="eastAsia" w:ascii="仿宋_GB2312" w:hAnsi="仿宋_GB2312" w:eastAsia="仿宋_GB2312" w:cs="仿宋_GB2312"/>
        </w:rPr>
      </w:pPr>
      <w:r>
        <w:rPr>
          <w:rFonts w:hint="eastAsia" w:ascii="仿宋_GB2312" w:hAnsi="仿宋_GB2312" w:eastAsia="仿宋_GB2312" w:cs="仿宋_GB2312"/>
        </w:rPr>
        <w:t>《广东省水污染防治条例》规定，县级以上人民政府应当合理安排、布局农村饮用水水源，加强农村饮用水水源保护和治理，做好水质检测和卫生防护等工作，有条件地区可采取城镇供水管网延伸或建设跨村、跨乡镇</w:t>
      </w:r>
      <w:r>
        <w:rPr>
          <w:rFonts w:hint="eastAsia" w:ascii="仿宋_GB2312" w:hAnsi="仿宋_GB2312" w:cs="仿宋_GB2312"/>
          <w:lang w:eastAsia="zh-CN"/>
        </w:rPr>
        <w:t>连片</w:t>
      </w:r>
      <w:r>
        <w:rPr>
          <w:rFonts w:hint="eastAsia" w:ascii="仿宋_GB2312" w:hAnsi="仿宋_GB2312" w:eastAsia="仿宋_GB2312" w:cs="仿宋_GB2312"/>
        </w:rPr>
        <w:t>集中供水工程，发展规模集中供水，推动形成城乡一体化饮用水水源保护机制，新建、改建、扩建农村集中供水工程，应当同步开展饮用水水源保护区划定工作。</w:t>
      </w:r>
    </w:p>
    <w:p w14:paraId="294655E2">
      <w:pPr>
        <w:rPr>
          <w:rFonts w:hint="eastAsia" w:ascii="楷体_GB2312" w:hAnsi="楷体_GB2312" w:eastAsia="楷体_GB2312" w:cs="楷体_GB2312"/>
        </w:rPr>
      </w:pPr>
      <w:r>
        <w:rPr>
          <w:rFonts w:hint="eastAsia" w:ascii="楷体_GB2312" w:hAnsi="楷体_GB2312" w:eastAsia="楷体_GB2312" w:cs="楷体_GB2312"/>
        </w:rPr>
        <w:t>（二）县域实际发展需求</w:t>
      </w:r>
    </w:p>
    <w:p w14:paraId="7A4CD26D">
      <w:pPr>
        <w:rPr>
          <w:rFonts w:hint="eastAsia" w:ascii="仿宋_GB2312" w:hAnsi="仿宋_GB2312" w:eastAsia="仿宋_GB2312" w:cs="仿宋_GB2312"/>
        </w:rPr>
      </w:pPr>
      <w:r>
        <w:rPr>
          <w:rFonts w:hint="eastAsia" w:ascii="仿宋_GB2312" w:hAnsi="仿宋_GB2312" w:eastAsia="仿宋_GB2312" w:cs="仿宋_GB2312"/>
        </w:rPr>
        <w:t>为全面贯彻落实《广东省人民政府关于将乡镇及以下集中式饮用水水源保护区划定方案批复权限委托地级以上市行使的决定》（粤府〔2020〕62号）和《广东省生态环境厅广东省水利厅关于加强农村饮用水源地环境管理工作的通知》（粤环函〔2021〕514号）要求，始兴县人民政府结合本县集中供水格局和水源保护区范围不匹配的实际情况，制定本《技术报告》，持续加强饮用水水源保护工作，切实保障饮用水水源水质安全。</w:t>
      </w:r>
    </w:p>
    <w:p w14:paraId="1C97B229">
      <w:pPr>
        <w:rPr>
          <w:rFonts w:hint="eastAsia" w:ascii="黑体" w:hAnsi="黑体" w:eastAsia="黑体" w:cs="黑体"/>
        </w:rPr>
      </w:pPr>
      <w:r>
        <w:rPr>
          <w:rFonts w:hint="eastAsia" w:ascii="黑体" w:hAnsi="黑体" w:eastAsia="黑体" w:cs="黑体"/>
        </w:rPr>
        <w:t>二、目标任务</w:t>
      </w:r>
    </w:p>
    <w:p w14:paraId="23EEF855">
      <w:pPr>
        <w:rPr>
          <w:rFonts w:hint="eastAsia" w:ascii="楷体_GB2312" w:hAnsi="楷体_GB2312" w:eastAsia="楷体_GB2312" w:cs="楷体_GB2312"/>
        </w:rPr>
      </w:pPr>
      <w:r>
        <w:rPr>
          <w:rFonts w:hint="eastAsia" w:ascii="楷体_GB2312" w:hAnsi="楷体_GB2312" w:eastAsia="楷体_GB2312" w:cs="楷体_GB2312"/>
        </w:rPr>
        <w:t>（一）</w:t>
      </w:r>
      <w:r>
        <w:rPr>
          <w:rFonts w:hint="eastAsia" w:ascii="楷体_GB2312" w:hAnsi="楷体_GB2312" w:eastAsia="楷体_GB2312" w:cs="楷体_GB2312"/>
          <w:lang w:val="en-US" w:eastAsia="zh-CN"/>
        </w:rPr>
        <w:t>拟</w:t>
      </w:r>
      <w:r>
        <w:rPr>
          <w:rFonts w:hint="eastAsia" w:ascii="楷体_GB2312" w:hAnsi="楷体_GB2312" w:eastAsia="楷体_GB2312" w:cs="楷体_GB2312"/>
        </w:rPr>
        <w:t>解决的问题</w:t>
      </w:r>
    </w:p>
    <w:p w14:paraId="3ACBBCCE">
      <w:pPr>
        <w:rPr>
          <w:rFonts w:hint="eastAsia" w:ascii="仿宋_GB2312" w:hAnsi="仿宋_GB2312" w:eastAsia="仿宋_GB2312" w:cs="仿宋_GB2312"/>
        </w:rPr>
      </w:pPr>
      <w:r>
        <w:rPr>
          <w:rFonts w:hint="eastAsia" w:ascii="仿宋_GB2312" w:hAnsi="仿宋_GB2312" w:cs="仿宋_GB2312"/>
          <w:lang w:val="en-US" w:eastAsia="zh-CN"/>
        </w:rPr>
        <w:t>1.</w:t>
      </w:r>
      <w:r>
        <w:rPr>
          <w:rFonts w:hint="eastAsia" w:ascii="仿宋_GB2312" w:hAnsi="仿宋_GB2312" w:eastAsia="仿宋_GB2312" w:cs="仿宋_GB2312"/>
        </w:rPr>
        <w:t>解决县域集中供水格局与水源保护区范围不匹配的问题，让保护范围更贴合实际供水需求。</w:t>
      </w:r>
    </w:p>
    <w:p w14:paraId="2E245928">
      <w:pPr>
        <w:rPr>
          <w:rFonts w:hint="eastAsia" w:ascii="仿宋_GB2312" w:hAnsi="仿宋_GB2312" w:eastAsia="仿宋_GB2312" w:cs="仿宋_GB2312"/>
        </w:rPr>
      </w:pPr>
      <w:r>
        <w:rPr>
          <w:rFonts w:hint="eastAsia" w:ascii="仿宋_GB2312" w:hAnsi="仿宋_GB2312" w:cs="仿宋_GB2312"/>
          <w:lang w:val="en-US" w:eastAsia="zh-CN"/>
        </w:rPr>
        <w:t>2.</w:t>
      </w:r>
      <w:r>
        <w:rPr>
          <w:rFonts w:hint="eastAsia" w:ascii="仿宋_GB2312" w:hAnsi="仿宋_GB2312" w:eastAsia="仿宋_GB2312" w:cs="仿宋_GB2312"/>
        </w:rPr>
        <w:t>破解部分水源地保护责任不清、管控无序的难题，通过精准划定边界明确管理责任。</w:t>
      </w:r>
    </w:p>
    <w:p w14:paraId="26193667">
      <w:pPr>
        <w:rPr>
          <w:rFonts w:hint="eastAsia" w:ascii="仿宋_GB2312" w:hAnsi="仿宋_GB2312" w:eastAsia="仿宋_GB2312" w:cs="仿宋_GB2312"/>
        </w:rPr>
      </w:pPr>
      <w:r>
        <w:rPr>
          <w:rFonts w:hint="eastAsia" w:ascii="仿宋_GB2312" w:hAnsi="仿宋_GB2312" w:cs="仿宋_GB2312"/>
          <w:lang w:val="en-US" w:eastAsia="zh-CN"/>
        </w:rPr>
        <w:t>3.</w:t>
      </w:r>
      <w:r>
        <w:rPr>
          <w:rFonts w:hint="eastAsia" w:ascii="仿宋_GB2312" w:hAnsi="仿宋_GB2312" w:eastAsia="仿宋_GB2312" w:cs="仿宋_GB2312"/>
        </w:rPr>
        <w:t>补齐农村饮用水水源保护、监测预警、风险防控及应急能力等方面的短板。</w:t>
      </w:r>
    </w:p>
    <w:p w14:paraId="5A8DB381">
      <w:pPr>
        <w:rPr>
          <w:rFonts w:hint="eastAsia" w:ascii="仿宋_GB2312" w:hAnsi="仿宋_GB2312" w:eastAsia="仿宋_GB2312" w:cs="仿宋_GB2312"/>
        </w:rPr>
      </w:pPr>
      <w:r>
        <w:rPr>
          <w:rFonts w:hint="eastAsia" w:ascii="仿宋_GB2312" w:hAnsi="仿宋_GB2312" w:cs="仿宋_GB2312"/>
          <w:lang w:val="en-US" w:eastAsia="zh-CN"/>
        </w:rPr>
        <w:t>4.</w:t>
      </w:r>
      <w:r>
        <w:rPr>
          <w:rFonts w:hint="eastAsia" w:ascii="仿宋_GB2312" w:hAnsi="仿宋_GB2312" w:eastAsia="仿宋_GB2312" w:cs="仿宋_GB2312"/>
        </w:rPr>
        <w:t>理顺农村集中式饮用水水源保护区划分管理体系，推动形成规范化、长效化的保护机制，切实筑牢农村饮水安全防线。</w:t>
      </w:r>
    </w:p>
    <w:p w14:paraId="52F365B8">
      <w:pPr>
        <w:rPr>
          <w:rFonts w:hint="eastAsia" w:ascii="楷体_GB2312" w:hAnsi="楷体_GB2312" w:eastAsia="楷体_GB2312" w:cs="楷体_GB2312"/>
        </w:rPr>
      </w:pPr>
      <w:r>
        <w:rPr>
          <w:rFonts w:hint="eastAsia" w:ascii="楷体_GB2312" w:hAnsi="楷体_GB2312" w:eastAsia="楷体_GB2312" w:cs="楷体_GB2312"/>
        </w:rPr>
        <w:t>（二）目标任务</w:t>
      </w:r>
    </w:p>
    <w:p w14:paraId="5096E2D5">
      <w:pPr>
        <w:rPr>
          <w:rFonts w:hint="eastAsia" w:ascii="仿宋_GB2312" w:hAnsi="仿宋_GB2312" w:eastAsia="仿宋_GB2312" w:cs="仿宋_GB2312"/>
        </w:rPr>
      </w:pPr>
      <w:r>
        <w:rPr>
          <w:rFonts w:hint="eastAsia" w:ascii="仿宋_GB2312" w:hAnsi="仿宋_GB2312" w:eastAsia="仿宋_GB2312" w:cs="仿宋_GB2312"/>
        </w:rPr>
        <w:t>《技术报告》的制定有利于进一步统筹全县集中式饮用水水源地管理。一是明确管理边界，通过精准划定保护区范围，解决以往部分水源地保护责任不清、管控无序的问题。二是保障饮水安全，为农村群众饮用优质、安全的饮用水提供制度保障。三是助力县域发展，为始兴县城乡融合发展、社会经济持续健康发展提供坚实基础保障。</w:t>
      </w:r>
    </w:p>
    <w:p w14:paraId="35E0B180">
      <w:pPr>
        <w:rPr>
          <w:rFonts w:hint="eastAsia" w:ascii="黑体" w:hAnsi="黑体" w:eastAsia="黑体" w:cs="黑体"/>
        </w:rPr>
      </w:pPr>
      <w:r>
        <w:rPr>
          <w:rFonts w:hint="eastAsia" w:ascii="黑体" w:hAnsi="黑体" w:eastAsia="黑体" w:cs="黑体"/>
        </w:rPr>
        <w:t>三、主要内容</w:t>
      </w:r>
    </w:p>
    <w:p w14:paraId="1961AEB4">
      <w:pPr>
        <w:rPr>
          <w:rFonts w:hint="eastAsia" w:ascii="楷体_GB2312" w:hAnsi="楷体_GB2312" w:eastAsia="楷体_GB2312" w:cs="楷体_GB2312"/>
        </w:rPr>
      </w:pPr>
      <w:r>
        <w:rPr>
          <w:rFonts w:hint="eastAsia" w:ascii="楷体_GB2312" w:hAnsi="楷体_GB2312" w:eastAsia="楷体_GB2312" w:cs="楷体_GB2312"/>
        </w:rPr>
        <w:t>（一）制定《技术报告》的技术路线</w:t>
      </w:r>
    </w:p>
    <w:p w14:paraId="3D78923A">
      <w:pPr>
        <w:rPr>
          <w:rFonts w:hint="eastAsia" w:ascii="仿宋_GB2312" w:hAnsi="仿宋_GB2312" w:eastAsia="仿宋_GB2312" w:cs="仿宋_GB2312"/>
        </w:rPr>
      </w:pPr>
      <w:r>
        <w:rPr>
          <w:rFonts w:hint="eastAsia" w:ascii="仿宋_GB2312" w:hAnsi="仿宋_GB2312" w:cs="仿宋_GB2312"/>
          <w:lang w:val="en-US" w:eastAsia="zh-CN"/>
        </w:rPr>
        <w:t>1.</w:t>
      </w:r>
      <w:r>
        <w:rPr>
          <w:rFonts w:hint="eastAsia" w:ascii="仿宋_GB2312" w:hAnsi="仿宋_GB2312" w:eastAsia="仿宋_GB2312" w:cs="仿宋_GB2312"/>
        </w:rPr>
        <w:t>综合调查。对划分（调整）的水源保护区的划分现状、自然环境、社会环境、污染源、水质现状、风险隐患、土地利用现状及相关规划进行调查。</w:t>
      </w:r>
    </w:p>
    <w:p w14:paraId="33151CF9">
      <w:pPr>
        <w:rPr>
          <w:rFonts w:hint="eastAsia" w:ascii="仿宋_GB2312" w:hAnsi="仿宋_GB2312" w:eastAsia="仿宋_GB2312" w:cs="仿宋_GB2312"/>
        </w:rPr>
      </w:pPr>
      <w:r>
        <w:rPr>
          <w:rFonts w:hint="eastAsia" w:ascii="仿宋_GB2312" w:hAnsi="仿宋_GB2312" w:cs="仿宋_GB2312"/>
          <w:lang w:val="en-US" w:eastAsia="zh-CN"/>
        </w:rPr>
        <w:t>2.</w:t>
      </w:r>
      <w:r>
        <w:rPr>
          <w:rFonts w:hint="eastAsia" w:ascii="仿宋_GB2312" w:hAnsi="仿宋_GB2312" w:eastAsia="仿宋_GB2312" w:cs="仿宋_GB2312"/>
        </w:rPr>
        <w:t>必要性分析。根据综合调查结果，总结现有水源保护区中存在的问题，分析其在规划水平年的水质、水量状况及发展趋势，以及与各种规划和政策法规的协调性，对划分（调整）的必要性论证。</w:t>
      </w:r>
    </w:p>
    <w:p w14:paraId="17A62D70">
      <w:pPr>
        <w:rPr>
          <w:rFonts w:hint="eastAsia" w:ascii="仿宋_GB2312" w:hAnsi="仿宋_GB2312" w:eastAsia="仿宋_GB2312" w:cs="仿宋_GB2312"/>
        </w:rPr>
      </w:pPr>
      <w:r>
        <w:rPr>
          <w:rFonts w:hint="eastAsia" w:ascii="仿宋_GB2312" w:hAnsi="仿宋_GB2312" w:cs="仿宋_GB2312"/>
          <w:lang w:val="en-US" w:eastAsia="zh-CN"/>
        </w:rPr>
        <w:t>3.</w:t>
      </w:r>
      <w:r>
        <w:rPr>
          <w:rFonts w:hint="eastAsia" w:ascii="仿宋_GB2312" w:hAnsi="仿宋_GB2312" w:eastAsia="仿宋_GB2312" w:cs="仿宋_GB2312"/>
        </w:rPr>
        <w:t>《技术报告》分析和边界确定。在规范文件的指导下，对各相关因素进行分析，初步制定《技术报告》。根据具体的地形、地貌条件、汇水条件，结合土地利用现状和区域交通现状，结合边界确定原则，优化划分定界方案。</w:t>
      </w:r>
    </w:p>
    <w:p w14:paraId="0A3E4F8F">
      <w:pPr>
        <w:rPr>
          <w:rFonts w:hint="eastAsia" w:ascii="仿宋_GB2312" w:hAnsi="仿宋_GB2312" w:eastAsia="仿宋_GB2312" w:cs="仿宋_GB2312"/>
        </w:rPr>
      </w:pPr>
      <w:r>
        <w:rPr>
          <w:rFonts w:hint="eastAsia" w:ascii="仿宋_GB2312" w:hAnsi="仿宋_GB2312" w:cs="仿宋_GB2312"/>
          <w:lang w:val="en-US" w:eastAsia="zh-CN"/>
        </w:rPr>
        <w:t>4.</w:t>
      </w:r>
      <w:r>
        <w:rPr>
          <w:rFonts w:hint="eastAsia" w:ascii="仿宋_GB2312" w:hAnsi="仿宋_GB2312" w:eastAsia="仿宋_GB2312" w:cs="仿宋_GB2312"/>
        </w:rPr>
        <w:t>论证《技术报告》可行性。从思路可行性、协调性分析、影响分析等多角度，采用定性、定量相结合的方法对划分（调整）方案的可行性进行论证，得到可行的符合管理要求的方案。</w:t>
      </w:r>
    </w:p>
    <w:p w14:paraId="5F007C00">
      <w:pPr>
        <w:rPr>
          <w:rFonts w:hint="eastAsia"/>
        </w:rPr>
      </w:pPr>
      <w:r>
        <w:rPr>
          <w:rFonts w:hint="eastAsia" w:ascii="仿宋_GB2312" w:hAnsi="仿宋_GB2312" w:cs="仿宋_GB2312"/>
          <w:lang w:val="en-US" w:eastAsia="zh-CN"/>
        </w:rPr>
        <w:t>5.</w:t>
      </w:r>
      <w:r>
        <w:rPr>
          <w:rFonts w:hint="eastAsia" w:ascii="仿宋_GB2312" w:hAnsi="仿宋_GB2312" w:eastAsia="仿宋_GB2312" w:cs="仿宋_GB2312"/>
        </w:rPr>
        <w:t>饮用水源规范化建设与管理要求。《技术报告》确定后，分析水源地突出问题，提出规范化措施、提出水源水质监测要求和保护管理要求。</w:t>
      </w:r>
    </w:p>
    <w:p w14:paraId="75B0ED60">
      <w:pPr>
        <w:rPr>
          <w:rFonts w:hint="eastAsia" w:ascii="楷体_GB2312" w:hAnsi="楷体_GB2312" w:eastAsia="楷体_GB2312" w:cs="楷体_GB2312"/>
        </w:rPr>
      </w:pPr>
      <w:r>
        <w:rPr>
          <w:rFonts w:hint="eastAsia" w:ascii="楷体_GB2312" w:hAnsi="楷体_GB2312" w:eastAsia="楷体_GB2312" w:cs="楷体_GB2312"/>
        </w:rPr>
        <w:t>（二）《技术报告》核心内容</w:t>
      </w:r>
    </w:p>
    <w:p w14:paraId="01AD58A6">
      <w:pPr>
        <w:rPr>
          <w:rFonts w:hint="eastAsia" w:ascii="仿宋_GB2312" w:hAnsi="仿宋_GB2312" w:eastAsia="仿宋_GB2312" w:cs="仿宋_GB2312"/>
        </w:rPr>
      </w:pPr>
      <w:r>
        <w:rPr>
          <w:rFonts w:hint="eastAsia" w:ascii="仿宋_GB2312" w:hAnsi="仿宋_GB2312" w:eastAsia="仿宋_GB2312" w:cs="仿宋_GB2312"/>
        </w:rPr>
        <w:t>《技术报告》分为八部分：</w:t>
      </w:r>
    </w:p>
    <w:p w14:paraId="62D92EB0">
      <w:pPr>
        <w:rPr>
          <w:rFonts w:hint="eastAsia" w:ascii="仿宋_GB2312" w:hAnsi="仿宋_GB2312" w:eastAsia="仿宋_GB2312" w:cs="仿宋_GB2312"/>
        </w:rPr>
      </w:pPr>
      <w:r>
        <w:rPr>
          <w:rFonts w:hint="eastAsia" w:ascii="仿宋_GB2312" w:hAnsi="仿宋_GB2312" w:cs="仿宋_GB2312"/>
          <w:lang w:val="en-US" w:eastAsia="zh-CN"/>
        </w:rPr>
        <w:t>1.</w:t>
      </w:r>
      <w:r>
        <w:rPr>
          <w:rFonts w:hint="eastAsia" w:ascii="仿宋_GB2312" w:hAnsi="仿宋_GB2312" w:eastAsia="仿宋_GB2312" w:cs="仿宋_GB2312"/>
        </w:rPr>
        <w:t>总则。主要提出划分（调整）目的、划分（调整）依据、划分（调整）原则及保护区划分（调整）的技术路线。</w:t>
      </w:r>
    </w:p>
    <w:p w14:paraId="122EDAD9">
      <w:pPr>
        <w:rPr>
          <w:rFonts w:hint="eastAsia" w:ascii="仿宋_GB2312" w:hAnsi="仿宋_GB2312" w:eastAsia="仿宋_GB2312" w:cs="仿宋_GB2312"/>
        </w:rPr>
      </w:pPr>
      <w:r>
        <w:rPr>
          <w:rFonts w:hint="eastAsia" w:ascii="仿宋_GB2312" w:hAnsi="仿宋_GB2312" w:cs="仿宋_GB2312"/>
          <w:lang w:val="en-US" w:eastAsia="zh-CN"/>
        </w:rPr>
        <w:t>2.</w:t>
      </w:r>
      <w:r>
        <w:rPr>
          <w:rFonts w:hint="eastAsia" w:ascii="仿宋_GB2312" w:hAnsi="仿宋_GB2312" w:eastAsia="仿宋_GB2312" w:cs="仿宋_GB2312"/>
        </w:rPr>
        <w:t>饮用水水源基础环境状况。主要调查区域自然状况、区域经济状况、土地使用现状及规划情况、新增（调整）饮用水水源地基础状况、饮用水水源地水质状况、饮用水水源地周边及上游污染源、水源地环境风险等。</w:t>
      </w:r>
    </w:p>
    <w:p w14:paraId="68DAC2E2">
      <w:pPr>
        <w:rPr>
          <w:rFonts w:hint="eastAsia" w:ascii="仿宋_GB2312" w:hAnsi="仿宋_GB2312" w:eastAsia="仿宋_GB2312" w:cs="仿宋_GB2312"/>
        </w:rPr>
      </w:pPr>
      <w:r>
        <w:rPr>
          <w:rFonts w:hint="eastAsia" w:ascii="仿宋_GB2312" w:hAnsi="仿宋_GB2312" w:cs="仿宋_GB2312"/>
          <w:lang w:val="en-US" w:eastAsia="zh-CN"/>
        </w:rPr>
        <w:t>3.</w:t>
      </w:r>
      <w:r>
        <w:rPr>
          <w:rFonts w:hint="eastAsia" w:ascii="仿宋_GB2312" w:hAnsi="仿宋_GB2312" w:eastAsia="仿宋_GB2312" w:cs="仿宋_GB2312"/>
        </w:rPr>
        <w:t>保护区划分（调整）与定界。主要明确保护区划分（调整）思路及技术方法，确定保护区划分方案（调整）及图件，进一步确定保护区定界方案及技术说明。</w:t>
      </w:r>
    </w:p>
    <w:p w14:paraId="6EFB314A">
      <w:pPr>
        <w:rPr>
          <w:rFonts w:hint="eastAsia" w:ascii="仿宋_GB2312" w:hAnsi="仿宋_GB2312" w:eastAsia="仿宋_GB2312" w:cs="仿宋_GB2312"/>
        </w:rPr>
      </w:pPr>
      <w:r>
        <w:rPr>
          <w:rFonts w:hint="eastAsia" w:ascii="仿宋_GB2312" w:hAnsi="仿宋_GB2312" w:eastAsia="仿宋_GB2312" w:cs="仿宋_GB2312"/>
        </w:rPr>
        <w:t>划分（调整）方案可行性分析。主要从合法合规性及技术可行性、区域规划相符性、供水水量可达性、供水水质可达性等方面论证划分（调整）方案可行性。</w:t>
      </w:r>
    </w:p>
    <w:p w14:paraId="32630FBE">
      <w:pPr>
        <w:rPr>
          <w:rFonts w:hint="eastAsia" w:ascii="仿宋_GB2312" w:hAnsi="仿宋_GB2312" w:eastAsia="仿宋_GB2312" w:cs="仿宋_GB2312"/>
        </w:rPr>
      </w:pPr>
      <w:r>
        <w:rPr>
          <w:rFonts w:hint="eastAsia" w:ascii="仿宋_GB2312" w:hAnsi="仿宋_GB2312" w:cs="仿宋_GB2312"/>
          <w:lang w:val="en-US" w:eastAsia="zh-CN"/>
        </w:rPr>
        <w:t>4.</w:t>
      </w:r>
      <w:r>
        <w:rPr>
          <w:rFonts w:hint="eastAsia" w:ascii="仿宋_GB2312" w:hAnsi="仿宋_GB2312" w:eastAsia="仿宋_GB2312" w:cs="仿宋_GB2312"/>
        </w:rPr>
        <w:t>规范化建设与管理要求。主要遵循相关法律法规要求，确定规范化建设相关措施，强化监督管理和监测预警，进一步保障饮用水水源地安全。</w:t>
      </w:r>
    </w:p>
    <w:p w14:paraId="722C97FC">
      <w:pPr>
        <w:rPr>
          <w:rFonts w:hint="eastAsia" w:ascii="仿宋_GB2312" w:hAnsi="仿宋_GB2312" w:eastAsia="仿宋_GB2312" w:cs="仿宋_GB2312"/>
        </w:rPr>
      </w:pPr>
      <w:r>
        <w:rPr>
          <w:rFonts w:hint="eastAsia" w:ascii="仿宋_GB2312" w:hAnsi="仿宋_GB2312" w:cs="仿宋_GB2312"/>
          <w:lang w:val="en-US" w:eastAsia="zh-CN"/>
        </w:rPr>
        <w:t>5.</w:t>
      </w:r>
      <w:r>
        <w:rPr>
          <w:rFonts w:hint="eastAsia" w:ascii="仿宋_GB2312" w:hAnsi="仿宋_GB2312" w:eastAsia="仿宋_GB2312" w:cs="仿宋_GB2312"/>
        </w:rPr>
        <w:t>事故风险分析及应急措施。主要进行事故风险识别与分析，确定风险防范措施，加强水源应急管理研究，提出饮用水水源地突发污染事件应急预案，提升事故风险应对能力。</w:t>
      </w:r>
    </w:p>
    <w:p w14:paraId="0DF90302">
      <w:pPr>
        <w:rPr>
          <w:rFonts w:hint="eastAsia" w:ascii="仿宋_GB2312" w:hAnsi="仿宋_GB2312" w:eastAsia="仿宋_GB2312" w:cs="仿宋_GB2312"/>
        </w:rPr>
      </w:pPr>
      <w:r>
        <w:rPr>
          <w:rFonts w:hint="eastAsia" w:ascii="仿宋_GB2312" w:hAnsi="仿宋_GB2312" w:cs="仿宋_GB2312"/>
          <w:lang w:val="en-US" w:eastAsia="zh-CN"/>
        </w:rPr>
        <w:t>6.</w:t>
      </w:r>
      <w:r>
        <w:rPr>
          <w:rFonts w:hint="eastAsia" w:ascii="仿宋_GB2312" w:hAnsi="仿宋_GB2312" w:eastAsia="仿宋_GB2312" w:cs="仿宋_GB2312"/>
        </w:rPr>
        <w:t>结论与建议。总结划分（调整）的必要性及明确的划分方案，并提出保障水源地安全的相关建议。</w:t>
      </w:r>
    </w:p>
    <w:p w14:paraId="32CE7F42">
      <w:pPr>
        <w:rPr>
          <w:rFonts w:hint="eastAsia"/>
        </w:rPr>
      </w:pPr>
      <w:r>
        <w:rPr>
          <w:rFonts w:hint="eastAsia" w:ascii="仿宋_GB2312" w:hAnsi="仿宋_GB2312" w:cs="仿宋_GB2312"/>
          <w:lang w:val="en-US" w:eastAsia="zh-CN"/>
        </w:rPr>
        <w:t>7.</w:t>
      </w:r>
      <w:r>
        <w:rPr>
          <w:rFonts w:hint="eastAsia" w:ascii="仿宋_GB2312" w:hAnsi="仿宋_GB2312" w:eastAsia="仿宋_GB2312" w:cs="仿宋_GB2312"/>
        </w:rPr>
        <w:t>附件。主要包括始兴县现有水源地批复、征求意见及采纳说明、专家评审情况、检验检测报告及取样现场图片等。</w:t>
      </w:r>
    </w:p>
    <w:p w14:paraId="16A62873">
      <w:pPr>
        <w:rPr>
          <w:rFonts w:hint="eastAsia" w:ascii="楷体_GB2312" w:hAnsi="楷体_GB2312" w:eastAsia="楷体_GB2312" w:cs="楷体_GB2312"/>
        </w:rPr>
      </w:pPr>
      <w:r>
        <w:rPr>
          <w:rFonts w:hint="eastAsia" w:ascii="楷体_GB2312" w:hAnsi="楷体_GB2312" w:eastAsia="楷体_GB2312" w:cs="楷体_GB2312"/>
        </w:rPr>
        <w:t>（三）适用范围</w:t>
      </w:r>
    </w:p>
    <w:p w14:paraId="20FF7ABA">
      <w:pPr>
        <w:rPr>
          <w:rFonts w:hint="eastAsia" w:ascii="仿宋_GB2312" w:hAnsi="仿宋_GB2312" w:eastAsia="仿宋_GB2312" w:cs="仿宋_GB2312"/>
        </w:rPr>
      </w:pPr>
      <w:r>
        <w:rPr>
          <w:rFonts w:hint="eastAsia" w:ascii="仿宋_GB2312" w:hAnsi="仿宋_GB2312" w:eastAsia="仿宋_GB2312" w:cs="仿宋_GB2312"/>
        </w:rPr>
        <w:t>《技术报告》涉及调整1个和新增划定12个在用饮用水水源地保护区，适用于隘子镇石井饮用水水源地（调整）、建国村斜梅凹地表水饮用水水源地、井下村鸭麻坑地表水饮用水水源地、五星村吊拐坑地表水饮用水水源地、风度村石灰窑地表水饮用水水源地，司前镇甘太村下再地表水饮用水水源地、黄沙村岩子石坑地表水饮用水水源地、江草村黄竹山地表水饮用水水源地、温下村压吉山地表水饮用水水源地、月武村田一片乌龟坑地表水饮用水水源地、月武村上河铜仔坑地表水饮用水水源地，澄江镇潭坑村大坑迳地表水饮用水水源地，马市镇远迳村菜子坑地表水饮用水水源地。</w:t>
      </w:r>
    </w:p>
    <w:p w14:paraId="085F85A6">
      <w:pPr>
        <w:rPr>
          <w:rFonts w:hint="eastAsia" w:ascii="黑体" w:hAnsi="黑体" w:eastAsia="黑体" w:cs="黑体"/>
        </w:rPr>
      </w:pPr>
      <w:r>
        <w:rPr>
          <w:rFonts w:hint="eastAsia" w:ascii="黑体" w:hAnsi="黑体" w:eastAsia="黑体" w:cs="黑体"/>
        </w:rPr>
        <w:t>四、利企惠民措施</w:t>
      </w:r>
    </w:p>
    <w:p w14:paraId="5DA29C58">
      <w:pPr>
        <w:rPr>
          <w:rFonts w:hint="eastAsia" w:ascii="仿宋_GB2312" w:hAnsi="仿宋_GB2312" w:eastAsia="仿宋_GB2312" w:cs="仿宋_GB2312"/>
        </w:rPr>
      </w:pPr>
      <w:r>
        <w:rPr>
          <w:rFonts w:hint="eastAsia" w:ascii="仿宋_GB2312" w:hAnsi="仿宋_GB2312" w:eastAsia="仿宋_GB2312" w:cs="仿宋_GB2312"/>
        </w:rPr>
        <w:t>本《技术报告》直接惠及全县农村居民，通过科学划定与调整饮用水水源保护区，明确保护边界、压实保护责任、完善监测预警与应急体系，持续提升农村饮用水水源水质安全保障水平，为农村群众提供稳定、安全、达标饮用水，切实维护群众生命健康权益，保障农村生产生活用水需求，助力乡村振兴与城乡融合发展。</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07A"/>
    <w:rsid w:val="00A2507A"/>
    <w:rsid w:val="424062B8"/>
    <w:rsid w:val="45414DBE"/>
    <w:rsid w:val="5807193A"/>
    <w:rsid w:val="68A97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eastAsia="仿宋_GB2312" w:asciiTheme="minorAscii" w:hAnsiTheme="minorAscii" w:cstheme="minorBidi"/>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44d26e66-24a4-4a1c-a373-b908b2def13c</errorID>
      <errorWord>联片</errorWord>
      <group>L1_Word</group>
      <groupName>字词问题</groupName>
      <ability>L2_Typo</ability>
      <abilityName>字词错误</abilityName>
      <candidateList>
        <item>连片</item>
      </candidateList>
      <explain/>
      <paraID> 85F42FB</paraID>
      <start>95</start>
      <end>97</end>
      <status>modified</status>
      <modifiedWord>连片</modifiedWord>
      <trackRevisions>false</trackRevisions>
    </reviewItem>
  </reviewItems>
  <config/>
</contractReview>
</file>

<file path=customXml/itemProps1.xml><?xml version="1.0" encoding="utf-8"?>
<ds:datastoreItem xmlns:ds="http://schemas.openxmlformats.org/officeDocument/2006/customXml" ds:itemID="{2cdf127c-bc9a-45f6-bd3b-1ff922eee0ea}">
  <ds:schemaRefs/>
</ds:datastoreItem>
</file>

<file path=docProps/app.xml><?xml version="1.0" encoding="utf-8"?>
<Properties xmlns="http://schemas.openxmlformats.org/officeDocument/2006/extended-properties" xmlns:vt="http://schemas.openxmlformats.org/officeDocument/2006/docPropsVTypes">
  <Template>Normal.dotm</Template>
  <Pages>5</Pages>
  <Words>709</Words>
  <Characters>731</Characters>
  <Lines>0</Lines>
  <Paragraphs>0</Paragraphs>
  <TotalTime>4</TotalTime>
  <ScaleCrop>false</ScaleCrop>
  <LinksUpToDate>false</LinksUpToDate>
  <CharactersWithSpaces>731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2026-04-17T07:45:00Z</dcterms:created>
  <dc:creator>韶关市生态环境局始兴分局综合股</dc:creator>
  <cp:lastModifiedBy>田小田</cp:lastModifiedBy>
  <dcterms:modified xsi:type="dcterms:W3CDTF">2026-04-22T08:05:03Z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58F3A55BF84340A8B1DEE94EBDF91153_11</vt:lpwstr>
  </property>
  <property fmtid="{D5CDD505-2E9C-101B-9397-08002B2CF9AE}" pid="4" name="KSOTemplateDocerSaveRecord">
    <vt:lpwstr>eyJoZGlkIjoiNGE2MjZiMjRmMTM2MTIxMGVkOGEzMzI4MjFhYzA3MzUiLCJ1c2VySWQiOiIzMjc0MjIwMTIifQ==</vt:lpwstr>
  </property>
</Properties>
</file>