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9"/>
        <w:widowControl w:val="0"/>
        <w:autoSpaceDE w:val="0"/>
        <w:autoSpaceDN w:val="0"/>
        <w:rPr>
          <w:rFonts w:hint="eastAsia" w:ascii="黑体" w:hAnsi="黑体" w:eastAsia="黑体"/>
          <w:sz w:val="32"/>
          <w:lang w:eastAsia="zh-CN"/>
        </w:rPr>
      </w:pPr>
      <w:bookmarkStart w:id="0" w:name="_GoBack"/>
      <w:bookmarkEnd w:id="0"/>
      <w:r>
        <w:rPr>
          <w:rFonts w:hint="eastAsia" w:ascii="黑体" w:hAnsi="黑体" w:eastAsia="黑体"/>
          <w:sz w:val="32"/>
        </w:rPr>
        <w:t>附件</w:t>
      </w:r>
      <w:r>
        <w:rPr>
          <w:rFonts w:hint="eastAsia" w:ascii="黑体" w:hAnsi="黑体" w:eastAsia="黑体"/>
          <w:sz w:val="32"/>
          <w:lang w:val="en-US" w:eastAsia="zh-CN"/>
        </w:rPr>
        <w:t>4</w:t>
      </w:r>
    </w:p>
    <w:p>
      <w:pPr>
        <w:pStyle w:val="9"/>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9"/>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9"/>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pPr>
        <w:pStyle w:val="9"/>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部门整体支出绩效自评报告</w:t>
      </w: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center"/>
        <w:rPr>
          <w:rFonts w:hint="eastAsia" w:ascii="宋体" w:hAnsi="宋体" w:eastAsia="宋体"/>
          <w:sz w:val="36"/>
        </w:rPr>
      </w:pPr>
    </w:p>
    <w:p>
      <w:pPr>
        <w:pStyle w:val="9"/>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pPr>
        <w:pStyle w:val="9"/>
        <w:widowControl w:val="0"/>
        <w:autoSpaceDE w:val="0"/>
        <w:autoSpaceDN w:val="0"/>
        <w:ind w:left="0" w:leftChars="0" w:right="0" w:rightChars="0" w:firstLine="0" w:firstLineChars="0"/>
        <w:jc w:val="both"/>
        <w:rPr>
          <w:rFonts w:hint="eastAsia" w:ascii="宋体" w:hAnsi="宋体"/>
          <w:sz w:val="36"/>
          <w:lang w:val="en-US" w:eastAsia="zh-CN"/>
        </w:rPr>
      </w:pPr>
    </w:p>
    <w:p>
      <w:pPr>
        <w:pStyle w:val="9"/>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部门名称：（公章）</w:t>
      </w:r>
    </w:p>
    <w:p>
      <w:pPr>
        <w:pStyle w:val="9"/>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pPr>
        <w:pStyle w:val="9"/>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曾晓娴</w:t>
      </w:r>
    </w:p>
    <w:p>
      <w:pPr>
        <w:pStyle w:val="9"/>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pPr>
        <w:pStyle w:val="9"/>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联系电话：</w:t>
      </w:r>
      <w:r>
        <w:rPr>
          <w:rFonts w:hint="eastAsia" w:ascii="宋体" w:hAnsi="宋体"/>
          <w:sz w:val="36"/>
          <w:lang w:val="en-US" w:eastAsia="zh-CN"/>
        </w:rPr>
        <w:t>0751-3931388</w:t>
      </w:r>
    </w:p>
    <w:p>
      <w:pPr>
        <w:pStyle w:val="9"/>
        <w:widowControl w:val="0"/>
        <w:autoSpaceDE w:val="0"/>
        <w:autoSpaceDN w:val="0"/>
        <w:ind w:left="0" w:leftChars="0" w:right="0" w:rightChars="0" w:firstLine="0" w:firstLineChars="0"/>
        <w:jc w:val="both"/>
        <w:rPr>
          <w:rFonts w:hint="eastAsia" w:ascii="宋体" w:hAnsi="宋体" w:eastAsia="宋体"/>
          <w:sz w:val="36"/>
          <w:lang w:val="en-US" w:eastAsia="zh-CN"/>
        </w:rPr>
      </w:pPr>
      <w:r>
        <w:rPr>
          <w:rFonts w:hint="eastAsia" w:ascii="宋体" w:hAnsi="宋体"/>
          <w:sz w:val="36"/>
          <w:lang w:val="en-US" w:eastAsia="zh-CN"/>
        </w:rPr>
        <w:t xml:space="preserve"> </w:t>
      </w:r>
    </w:p>
    <w:p>
      <w:pPr>
        <w:ind w:left="0" w:leftChars="0" w:right="0" w:rightChars="0" w:firstLine="0" w:firstLineChars="0"/>
        <w:jc w:val="both"/>
        <w:rPr>
          <w:rFonts w:hint="eastAsia" w:ascii="黑体" w:hAnsi="黑体" w:eastAsia="黑体"/>
          <w:sz w:val="32"/>
        </w:rPr>
      </w:pPr>
      <w:r>
        <w:rPr>
          <w:rFonts w:hint="eastAsia" w:ascii="宋体" w:hAnsi="宋体" w:eastAsia="宋体"/>
          <w:sz w:val="36"/>
        </w:rPr>
        <w:t>填报日期：</w:t>
      </w:r>
      <w:r>
        <w:rPr>
          <w:rFonts w:hint="eastAsia" w:ascii="宋体" w:hAnsi="宋体"/>
          <w:sz w:val="36"/>
          <w:lang w:val="en-US" w:eastAsia="zh-CN"/>
        </w:rPr>
        <w:t>2026年5月18日</w:t>
      </w: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pPr>
        <w:keepNext w:val="0"/>
        <w:keepLines w:val="0"/>
        <w:pageBreakBefore w:val="0"/>
        <w:numPr>
          <w:ilvl w:val="0"/>
          <w:numId w:val="1"/>
        </w:numPr>
        <w:kinsoku/>
        <w:wordWrap/>
        <w:overflowPunct/>
        <w:topLinePunct w:val="0"/>
        <w:autoSpaceDN/>
        <w:bidi w:val="0"/>
        <w:adjustRightInd/>
        <w:snapToGrid/>
        <w:spacing w:line="560" w:lineRule="exact"/>
        <w:ind w:left="0" w:firstLine="640" w:firstLineChars="200"/>
        <w:textAlignment w:val="auto"/>
        <w:rPr>
          <w:rFonts w:hint="eastAsia" w:ascii="仿宋_GB2312" w:hAnsi="仿宋_GB2312" w:eastAsia="仿宋_GB2312"/>
          <w:sz w:val="32"/>
          <w:szCs w:val="32"/>
        </w:rPr>
      </w:pPr>
      <w:r>
        <w:rPr>
          <w:rFonts w:hint="eastAsia" w:ascii="楷体_GB2312" w:hAnsi="楷体_GB2312" w:eastAsia="楷体_GB2312" w:cs="楷体_GB2312"/>
          <w:sz w:val="32"/>
        </w:rPr>
        <w:t>（</w:t>
      </w:r>
      <w:r>
        <w:rPr>
          <w:rFonts w:hint="eastAsia" w:ascii="楷体_GB2312" w:hAnsi="楷体_GB2312" w:eastAsia="楷体_GB2312" w:cs="楷体_GB2312"/>
          <w:sz w:val="32"/>
          <w:szCs w:val="32"/>
        </w:rPr>
        <w:t>部门职能</w:t>
      </w:r>
      <w:r>
        <w:rPr>
          <w:rFonts w:hint="eastAsia" w:ascii="楷体_GB2312" w:hAnsi="楷体_GB2312" w:eastAsia="楷体_GB2312" w:cs="楷体_GB2312"/>
          <w:sz w:val="32"/>
          <w:szCs w:val="32"/>
          <w:lang w:eastAsia="zh-CN"/>
        </w:rPr>
        <w:t>）</w:t>
      </w:r>
    </w:p>
    <w:p>
      <w:pPr>
        <w:pStyle w:val="6"/>
        <w:keepNext w:val="0"/>
        <w:keepLines w:val="0"/>
        <w:widowControl/>
        <w:suppressLineNumbers w:val="0"/>
        <w:spacing w:line="240" w:lineRule="auto"/>
        <w:ind w:firstLine="640" w:firstLineChars="200"/>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始兴县司法局成立于1981年2月，是主管全县司法行政工作的政府组成部门，正科级单位。内设机构10个，分别为办公室、县委全面依法治县委员会办公室秘书股、行政复议股、行政应诉股、法律事务股、社区矫正管理股、普法与依法治理股、人民参与和促进法治股、公共法律服务管理股、政工科。下属公益一类事业单位2个，分别为县法律援助处、县公职律师事务所。下属公益二类事业单位1个，为县公证处。有派出机构10个乡镇司法所。</w:t>
      </w:r>
      <w:r>
        <w:rPr>
          <w:rFonts w:hint="eastAsia" w:ascii="仿宋_GB2312" w:eastAsia="仿宋_GB2312" w:cs="仿宋_GB2312"/>
          <w:color w:val="000000"/>
          <w:spacing w:val="0"/>
          <w:position w:val="0"/>
          <w:sz w:val="32"/>
          <w:szCs w:val="32"/>
        </w:rPr>
        <w:t>2025年末，始兴县司法局实有人员56人，其中县司法局机关编制数为23 个（含执法编5个），实有23 人；基层司法所编制数为22 个，实有人数为20 人；参公编制为10个，实有人数为10人；事业编制为3 个，实有人数为3人。局党组成员4人，其中1 人兼任局长，2人兼任副局长，1人兼任政工科长。三级调研员1人、四级调研员1 人、一级主任科员3人、二级主任科员3 人（2名副科实职），三级主任科员8人（1 名副科实职），四级主任科员9 人，一级科员20人，试用期8人，事业管理人员2 人、专技人员1人（试用期）。</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年度总体工作和重点工作任务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始兴县司法局</w:t>
      </w:r>
      <w:r>
        <w:rPr>
          <w:rFonts w:hint="eastAsia" w:ascii="仿宋_GB2312" w:hAnsi="仿宋_GB2312" w:eastAsia="仿宋_GB2312" w:cs="仿宋_GB2312"/>
          <w:sz w:val="32"/>
          <w:szCs w:val="32"/>
        </w:rPr>
        <w:t>以习近平新时代中国特色社会主义思想为指导，深入贯彻党的二十大精神</w:t>
      </w:r>
      <w:r>
        <w:rPr>
          <w:rFonts w:hint="eastAsia" w:ascii="仿宋_GB2312" w:hAnsi="仿宋_GB2312" w:eastAsia="仿宋_GB2312" w:cs="仿宋_GB2312"/>
          <w:sz w:val="32"/>
          <w:szCs w:val="32"/>
          <w:lang w:eastAsia="zh-CN"/>
        </w:rPr>
        <w:t>和二十届三中全会精神</w:t>
      </w:r>
      <w:r>
        <w:rPr>
          <w:rFonts w:hint="eastAsia" w:ascii="仿宋_GB2312" w:hAnsi="仿宋_GB2312" w:eastAsia="仿宋_GB2312" w:cs="仿宋_GB2312"/>
          <w:sz w:val="32"/>
          <w:szCs w:val="32"/>
        </w:rPr>
        <w:t>，紧紧围绕</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政府中心工作，以推进全面依法治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为主线，以维护社会和谐稳定为目标，以提升司法行政工作效能为重点，着力在法治政府建设、公共法律服务体系建设、矛盾纠纷化解、特殊人群管理等方面下功夫，为全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经济社会高质量发展提供坚实的法治保障和优质高效的法律服务。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（三）部门整体支出绩效目标</w:t>
      </w:r>
    </w:p>
    <w:p>
      <w:pPr>
        <w:keepNext w:val="0"/>
        <w:keepLines w:val="0"/>
        <w:pageBreakBefore w:val="0"/>
        <w:widowControl/>
        <w:shd w:val="clear" w:color="auto" w:fill="FFFFFF"/>
        <w:kinsoku/>
        <w:wordWrap/>
        <w:overflowPunct/>
        <w:topLinePunct w:val="0"/>
        <w:autoSpaceDN/>
        <w:bidi w:val="0"/>
        <w:adjustRightInd/>
        <w:snapToGrid/>
        <w:spacing w:line="560" w:lineRule="exact"/>
        <w:ind w:left="0" w:firstLine="640"/>
        <w:jc w:val="left"/>
        <w:textAlignment w:val="auto"/>
        <w:rPr>
          <w:rFonts w:hint="eastAsia" w:ascii="仿宋_GB2312" w:hAnsi="仿宋_GB2312" w:eastAsia="仿宋_GB2312"/>
          <w:sz w:val="32"/>
          <w:szCs w:val="32"/>
        </w:rPr>
      </w:pP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年我局整体支出绩效目标是：量入为出，收支平衡，合理安排，从严控制。在县委和县政府的指导下，努力完成202</w:t>
      </w: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年的各项工作任务，认真执行202</w:t>
      </w: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年部门预算，合理安排资金，确保了本单位的正常运转，促进各项事业蓬勃发展。</w:t>
      </w:r>
    </w:p>
    <w:p>
      <w:pPr>
        <w:keepNext w:val="0"/>
        <w:keepLines w:val="0"/>
        <w:pageBreakBefore w:val="0"/>
        <w:kinsoku/>
        <w:wordWrap/>
        <w:overflowPunct/>
        <w:topLinePunct w:val="0"/>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始兴县</w:t>
      </w:r>
      <w:r>
        <w:rPr>
          <w:rFonts w:hint="eastAsia" w:ascii="仿宋_GB2312" w:hAnsi="仿宋_GB2312" w:eastAsia="仿宋_GB2312" w:cs="仿宋_GB2312"/>
          <w:sz w:val="32"/>
          <w:szCs w:val="32"/>
        </w:rPr>
        <w:t>司法局作为司法行政工作的核心部门，其资金使用在推动</w:t>
      </w:r>
      <w:r>
        <w:rPr>
          <w:rFonts w:hint="eastAsia" w:ascii="仿宋_GB2312" w:hAnsi="仿宋_GB2312" w:eastAsia="仿宋_GB2312" w:cs="仿宋_GB2312"/>
          <w:sz w:val="32"/>
          <w:szCs w:val="32"/>
          <w:lang w:eastAsia="zh-CN"/>
        </w:rPr>
        <w:t>法治政府建设、维护</w:t>
      </w:r>
      <w:r>
        <w:rPr>
          <w:rFonts w:hint="eastAsia" w:ascii="仿宋_GB2312" w:hAnsi="仿宋_GB2312" w:eastAsia="仿宋_GB2312" w:cs="仿宋_GB2312"/>
          <w:sz w:val="32"/>
          <w:szCs w:val="32"/>
        </w:rPr>
        <w:t>社会公平正义、维护社会稳定、促进经济发展等方面发挥了显著作用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法律援助经费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通过支持困难群体案件办理，确保“应援尽援”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保障弱势群体权益，促进社会公平</w:t>
      </w:r>
      <w:r>
        <w:rPr>
          <w:rFonts w:hint="eastAsia" w:ascii="仿宋_GB2312" w:hAnsi="仿宋_GB2312" w:eastAsia="仿宋_GB2312" w:cs="仿宋_GB2312"/>
          <w:sz w:val="32"/>
          <w:szCs w:val="32"/>
          <w:lang w:eastAsia="zh-CN"/>
        </w:rPr>
        <w:t>。普法宣传经费：</w:t>
      </w:r>
      <w:r>
        <w:rPr>
          <w:rFonts w:hint="eastAsia" w:ascii="仿宋_GB2312" w:hAnsi="仿宋_GB2312" w:eastAsia="仿宋_GB2312" w:cs="仿宋_GB2312"/>
          <w:sz w:val="32"/>
          <w:szCs w:val="32"/>
        </w:rPr>
        <w:t>通过法治宣传教育活动，普及法律知识，引导群众通过合法途径解决纠纷，降低司法机关的办案成本和当事人的诉讼成本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w:t>
      </w:r>
      <w:r>
        <w:rPr>
          <w:rFonts w:hint="eastAsia" w:ascii="仿宋_GB2312" w:hAnsi="仿宋_GB2312" w:eastAsia="仿宋_GB2312" w:cs="仿宋_GB2312"/>
          <w:sz w:val="32"/>
          <w:szCs w:val="32"/>
          <w:lang w:eastAsia="zh-CN"/>
        </w:rPr>
        <w:t>社会公众</w:t>
      </w:r>
      <w:r>
        <w:rPr>
          <w:rFonts w:hint="eastAsia" w:ascii="仿宋_GB2312" w:hAnsi="仿宋_GB2312" w:eastAsia="仿宋_GB2312" w:cs="仿宋_GB2312"/>
          <w:sz w:val="32"/>
          <w:szCs w:val="32"/>
        </w:rPr>
        <w:t>法治意识，</w:t>
      </w:r>
      <w:r>
        <w:rPr>
          <w:rFonts w:hint="eastAsia" w:ascii="仿宋_GB2312" w:hAnsi="仿宋_GB2312" w:eastAsia="仿宋_GB2312" w:cs="仿宋_GB2312"/>
          <w:sz w:val="32"/>
          <w:szCs w:val="32"/>
          <w:lang w:eastAsia="zh-CN"/>
        </w:rPr>
        <w:t>促成</w:t>
      </w:r>
      <w:r>
        <w:rPr>
          <w:rFonts w:hint="eastAsia" w:ascii="仿宋_GB2312" w:hAnsi="仿宋_GB2312" w:eastAsia="仿宋_GB2312" w:cs="仿宋_GB2312"/>
          <w:sz w:val="32"/>
          <w:szCs w:val="32"/>
        </w:rPr>
        <w:t>形成尊法、学法、守法、用法的良好氛围，促进社会文明进步。</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sz w:val="32"/>
          <w:szCs w:val="32"/>
        </w:rPr>
        <w:t>法律</w:t>
      </w:r>
      <w:r>
        <w:rPr>
          <w:rFonts w:hint="eastAsia" w:ascii="仿宋_GB2312" w:hAnsi="仿宋_GB2312" w:eastAsia="仿宋_GB2312" w:cs="仿宋_GB2312"/>
          <w:sz w:val="32"/>
          <w:szCs w:val="32"/>
          <w:lang w:eastAsia="zh-CN"/>
        </w:rPr>
        <w:t>宣传</w:t>
      </w:r>
      <w:r>
        <w:rPr>
          <w:rFonts w:hint="eastAsia" w:ascii="仿宋_GB2312" w:hAnsi="仿宋_GB2312" w:eastAsia="仿宋_GB2312" w:cs="仿宋_GB2312"/>
          <w:sz w:val="32"/>
          <w:szCs w:val="32"/>
        </w:rPr>
        <w:t>服务等工作，为企业提供法治保障，帮助企业防范法律风险，促进经济的健康发展。</w:t>
      </w:r>
      <w:r>
        <w:rPr>
          <w:rFonts w:hint="eastAsia" w:ascii="仿宋_GB2312" w:hAnsi="仿宋_GB2312" w:eastAsia="仿宋_GB2312" w:cs="仿宋_GB2312"/>
          <w:sz w:val="32"/>
          <w:szCs w:val="32"/>
          <w:lang w:eastAsia="zh-CN"/>
        </w:rPr>
        <w:t>一村（社区）一法律顾问经费：通过推动</w:t>
      </w:r>
      <w:r>
        <w:rPr>
          <w:rFonts w:hint="eastAsia" w:ascii="仿宋_GB2312" w:hAnsi="仿宋_GB2312" w:eastAsia="仿宋_GB2312" w:cs="仿宋_GB2312"/>
          <w:sz w:val="32"/>
          <w:szCs w:val="32"/>
        </w:rPr>
        <w:t>“法律明白人”培养和村（居）法律顾问全覆盖行动，强化基层自治能力</w:t>
      </w:r>
      <w:r>
        <w:rPr>
          <w:rFonts w:hint="eastAsia" w:ascii="仿宋_GB2312" w:hAnsi="仿宋_GB2312" w:eastAsia="仿宋_GB2312" w:cs="仿宋_GB2312"/>
          <w:sz w:val="32"/>
          <w:szCs w:val="32"/>
          <w:lang w:eastAsia="zh-CN"/>
        </w:rPr>
        <w:t>，促进乡村振兴。人民调解经费：</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购买</w:t>
      </w:r>
      <w:r>
        <w:rPr>
          <w:rFonts w:hint="eastAsia" w:ascii="仿宋_GB2312" w:hAnsi="仿宋_GB2312" w:eastAsia="仿宋_GB2312" w:cs="仿宋_GB2312"/>
          <w:sz w:val="32"/>
          <w:szCs w:val="32"/>
        </w:rPr>
        <w:t>专职人民调解服务，排查预防化解大量矛盾纠纷，</w:t>
      </w:r>
      <w:r>
        <w:rPr>
          <w:rFonts w:hint="eastAsia" w:ascii="仿宋_GB2312" w:hAnsi="仿宋_GB2312" w:eastAsia="仿宋_GB2312" w:cs="仿宋_GB2312"/>
          <w:sz w:val="32"/>
          <w:szCs w:val="32"/>
          <w:lang w:eastAsia="zh-CN"/>
        </w:rPr>
        <w:t>化解社会矛盾，</w:t>
      </w:r>
      <w:r>
        <w:rPr>
          <w:rFonts w:hint="eastAsia" w:ascii="仿宋_GB2312" w:hAnsi="仿宋_GB2312" w:eastAsia="仿宋_GB2312" w:cs="仿宋_GB2312"/>
          <w:sz w:val="32"/>
          <w:szCs w:val="32"/>
        </w:rPr>
        <w:t>营造良好的社会环境。</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eastAsia="zh-CN"/>
        </w:rPr>
        <w:t>特殊</w:t>
      </w:r>
      <w:r>
        <w:rPr>
          <w:rFonts w:hint="eastAsia" w:ascii="仿宋_GB2312" w:hAnsi="仿宋_GB2312" w:eastAsia="仿宋_GB2312" w:cs="仿宋_GB2312"/>
          <w:sz w:val="32"/>
          <w:szCs w:val="32"/>
        </w:rPr>
        <w:t>人员管理及教育帮扶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降低犯罪风险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使其重新犯罪率控制在较低水平，有效预防和减少犯罪，维护社会和谐稳定。法律顾问和行政复议经费支持政府依法决策，减少行政争议成本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通过法治审核机制优化政策文件，组织执法培训等，提高政府机关及其工作人员的法治思维和依法决策水平，推动法治政府建设，提升政府公信力</w:t>
      </w:r>
      <w:r>
        <w:rPr>
          <w:rFonts w:hint="eastAsia" w:ascii="仿宋_GB2312" w:hAnsi="仿宋_GB2312" w:eastAsia="仿宋_GB2312" w:cs="仿宋_GB2312"/>
          <w:sz w:val="32"/>
          <w:szCs w:val="32"/>
          <w:lang w:eastAsia="zh-CN"/>
        </w:rPr>
        <w:t>。</w:t>
      </w:r>
    </w:p>
    <w:p>
      <w:pPr>
        <w:keepNext w:val="0"/>
        <w:keepLines w:val="0"/>
        <w:pageBreakBefore w:val="0"/>
        <w:numPr>
          <w:ilvl w:val="0"/>
          <w:numId w:val="0"/>
        </w:numPr>
        <w:kinsoku/>
        <w:wordWrap/>
        <w:overflowPunct/>
        <w:topLinePunct w:val="0"/>
        <w:autoSpaceDN/>
        <w:bidi w:val="0"/>
        <w:adjustRightInd/>
        <w:snapToGrid/>
        <w:spacing w:line="560" w:lineRule="exact"/>
        <w:ind w:leftChars="200" w:right="0" w:right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部门整体支出情况。</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楷体_GB2312" w:hAnsi="楷体_GB2312" w:eastAsia="楷体_GB2312" w:cs="楷体_GB2312"/>
          <w:color w:val="auto"/>
          <w:sz w:val="32"/>
          <w:szCs w:val="32"/>
        </w:rPr>
      </w:pPr>
      <w:r>
        <w:rPr>
          <w:rFonts w:hint="eastAsia" w:ascii="仿宋_GB2312" w:hAnsi="仿宋_GB2312" w:eastAsia="仿宋_GB2312" w:cs="仿宋_GB2312"/>
          <w:color w:val="auto"/>
          <w:kern w:val="0"/>
          <w:sz w:val="32"/>
          <w:szCs w:val="32"/>
          <w:lang w:val="en-US" w:eastAsia="zh-CN" w:bidi="ar"/>
        </w:rPr>
        <w:t>2025年本部门收入预算1441.24万元，比上年增加20.91万元，下降1.4%，主要原因是中央级和省级专项资金减少；2025年本部门支出预算1441.24万元，比上年增加20.91万元，下降1.4%，主要原因是中央级和省级专项资金减少。</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left"/>
        <w:textAlignment w:val="auto"/>
        <w:rPr>
          <w:rFonts w:hint="eastAsia" w:ascii="黑体" w:hAnsi="黑体" w:eastAsia="黑体"/>
          <w:sz w:val="32"/>
          <w:szCs w:val="32"/>
        </w:rPr>
      </w:pPr>
      <w:r>
        <w:rPr>
          <w:rFonts w:hint="eastAsia" w:ascii="黑体" w:hAnsi="黑体" w:eastAsia="黑体"/>
          <w:sz w:val="32"/>
          <w:szCs w:val="32"/>
        </w:rPr>
        <w:t>二、绩效自评情况</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（一）履职效能分析</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我单位在履行职责过程中对资金投入使用契合度较高，资金使用率高，社会效益明显，社会满意度较好。我单位2025年资金使用方向主要用于法治宣传与教育、法律援助、人民调解、社区矫正与安置帮教、政府法律顾问、一村（社区）一法律顾问、公共法律服务、行政复议、行政执法监督、依法治县等方面，社会公共众法治意识显著增强，政府依法行政水平显著提高，基层社会治理能力显著优化。现将我单位履职的整体效果完成情况简述如下：</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sz w:val="32"/>
          <w:szCs w:val="32"/>
          <w:lang w:val="en-US" w:eastAsia="zh-CN"/>
        </w:rPr>
        <w:t>1.加强政府法律顾问工作。</w:t>
      </w:r>
      <w:r>
        <w:rPr>
          <w:rFonts w:hint="eastAsia" w:ascii="仿宋_GB2312" w:hAnsi="仿宋_GB2312" w:eastAsia="仿宋_GB2312" w:cs="仿宋_GB2312"/>
          <w:sz w:val="32"/>
          <w:szCs w:val="32"/>
          <w:lang w:val="en-US" w:eastAsia="zh-CN"/>
        </w:rPr>
        <w:t>办理重大项目建设、重要合同协议、重大决策事项、重要制度方案等各类涉法事务，提出书面审查、审核意见117份；</w:t>
      </w:r>
      <w:r>
        <w:rPr>
          <w:rFonts w:hint="eastAsia" w:ascii="仿宋_GB2312" w:hAnsi="仿宋_GB2312" w:eastAsia="仿宋_GB2312" w:cs="仿宋_GB2312"/>
          <w:color w:val="000000"/>
          <w:sz w:val="32"/>
          <w:szCs w:val="32"/>
          <w:highlight w:val="none"/>
          <w:lang w:val="en-US" w:eastAsia="zh-CN"/>
        </w:rPr>
        <w:t>收集、梳理符合重大行政决策和听证的目录事项3项，完成合法性审查2项,完成规范性文件合法性审查5件。</w:t>
      </w:r>
      <w:r>
        <w:rPr>
          <w:rFonts w:hint="eastAsia" w:ascii="仿宋_GB2312" w:hAnsi="仿宋_GB2312" w:eastAsia="仿宋_GB2312" w:cs="仿宋_GB2312"/>
          <w:color w:val="auto"/>
          <w:sz w:val="32"/>
          <w:szCs w:val="32"/>
          <w:highlight w:val="none"/>
          <w:lang w:val="en-US" w:eastAsia="zh-CN"/>
        </w:rPr>
        <w:t>为县政府常</w:t>
      </w:r>
      <w:r>
        <w:rPr>
          <w:rFonts w:hint="eastAsia" w:ascii="仿宋_GB2312" w:hAnsi="仿宋_GB2312" w:eastAsia="仿宋_GB2312" w:cs="仿宋_GB2312"/>
          <w:color w:val="auto"/>
          <w:sz w:val="32"/>
          <w:szCs w:val="32"/>
          <w:lang w:val="en-US" w:eastAsia="zh-CN"/>
        </w:rPr>
        <w:t>务会议、县政府专题工作会议、城市规划委员会、产业联席会议、价审会、扶贫资产管理会议等涉及重大法律事务工作会议提供法律意见80余会次</w:t>
      </w:r>
      <w:r>
        <w:rPr>
          <w:rFonts w:hint="eastAsia" w:ascii="仿宋_GB2312" w:hAnsi="仿宋_GB2312" w:eastAsia="仿宋_GB2312" w:cs="仿宋_GB2312"/>
          <w:sz w:val="32"/>
          <w:szCs w:val="32"/>
          <w:lang w:val="en-US" w:eastAsia="zh-CN"/>
        </w:rPr>
        <w:t>。组织政府常务会议</w:t>
      </w:r>
      <w:r>
        <w:rPr>
          <w:rFonts w:hint="eastAsia" w:ascii="仿宋_GB2312" w:hAnsi="仿宋_GB2312" w:eastAsia="仿宋_GB2312" w:cs="仿宋_GB2312"/>
          <w:b w:val="0"/>
          <w:bCs w:val="0"/>
          <w:sz w:val="32"/>
          <w:szCs w:val="32"/>
          <w:lang w:val="en-US" w:eastAsia="zh-CN"/>
        </w:rPr>
        <w:t>专题学法</w:t>
      </w:r>
      <w:r>
        <w:rPr>
          <w:rFonts w:hint="eastAsia" w:ascii="仿宋_GB2312" w:hAnsi="仿宋_GB2312" w:eastAsia="仿宋_GB2312" w:cs="仿宋_GB2312"/>
          <w:color w:val="auto"/>
          <w:sz w:val="32"/>
          <w:szCs w:val="32"/>
          <w:lang w:val="en-US" w:eastAsia="zh-CN"/>
        </w:rPr>
        <w:t>3次。</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sz w:val="32"/>
          <w:szCs w:val="32"/>
          <w:lang w:val="en-US" w:eastAsia="zh-CN"/>
        </w:rPr>
        <w:t>2.做好行政复议与应诉工作。</w:t>
      </w:r>
      <w:r>
        <w:rPr>
          <w:rFonts w:hint="eastAsia" w:ascii="仿宋_GB2312" w:hAnsi="仿宋_GB2312" w:eastAsia="仿宋_GB2312" w:cs="仿宋_GB2312"/>
          <w:b w:val="0"/>
          <w:bCs w:val="0"/>
          <w:sz w:val="32"/>
          <w:szCs w:val="32"/>
          <w:lang w:val="en-US" w:eastAsia="zh-CN"/>
        </w:rPr>
        <w:t>2025年新收行政复议案件86宗（收案数同比上年增长45.8%），审结84宗（含上年结转13宗），其中维持19宗，调解和解33宗（调解和解率为39.3%），纠错11宗（纠错率为13.1%），经复议后诉讼案件10宗（起诉率降至11.9%，胜诉率为100%），近90%的案件在复议阶段实现案结事了。此外，结合规范涉企行政执法专项行动，做深做实涉企行政复议案件实质性化解工作，2025年新收涉企行政复议案件22宗，审结21宗，纠错4宗，调解和解13宗，调撤率高达81%，为企业挽回损失约106.69万元。</w:t>
      </w:r>
      <w:r>
        <w:rPr>
          <w:rFonts w:hint="eastAsia" w:ascii="仿宋_GB2312" w:hAnsi="仿宋_GB2312" w:eastAsia="仿宋_GB2312" w:cs="仿宋_GB2312"/>
          <w:b w:val="0"/>
          <w:bCs w:val="0"/>
          <w:color w:val="auto"/>
          <w:sz w:val="32"/>
          <w:szCs w:val="32"/>
          <w:highlight w:val="none"/>
          <w:lang w:val="en-US" w:eastAsia="zh-CN"/>
        </w:rPr>
        <w:t>以县政府名义参与应诉的行政诉讼案件34宗，开庭案件数26宗，行政机关负责人出庭应诉26宗，行政机关负责人出庭应诉率为100%。</w:t>
      </w:r>
    </w:p>
    <w:p>
      <w:pPr>
        <w:keepNext w:val="0"/>
        <w:keepLines w:val="0"/>
        <w:pageBreakBefore w:val="0"/>
        <w:kinsoku/>
        <w:wordWrap/>
        <w:overflowPunct/>
        <w:topLinePunct w:val="0"/>
        <w:autoSpaceDE/>
        <w:autoSpaceDN/>
        <w:bidi w:val="0"/>
        <w:adjustRightInd/>
        <w:snapToGrid/>
        <w:spacing w:beforeLines="0" w:afterLines="0" w:line="520" w:lineRule="exact"/>
        <w:ind w:firstLine="643" w:firstLineChars="200"/>
        <w:jc w:val="left"/>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强化行政执法监督。</w:t>
      </w:r>
      <w:r>
        <w:rPr>
          <w:rFonts w:hint="eastAsia" w:ascii="仿宋_GB2312" w:hAnsi="仿宋_GB2312" w:eastAsia="仿宋_GB2312" w:cs="仿宋_GB2312"/>
          <w:b w:val="0"/>
          <w:bCs w:val="0"/>
          <w:color w:val="auto"/>
          <w:sz w:val="32"/>
          <w:szCs w:val="32"/>
          <w:highlight w:val="none"/>
          <w:lang w:val="en-US" w:eastAsia="zh-CN"/>
        </w:rPr>
        <w:t>开展行政执法人员综合法律知识网上考试人数118人；新办或换领执法证123人次，清理回收旧证57张，现持证总数572人；韶关市一体化行政执法平台累计办理行政执法案件10047宗，其中开展非现场执法云巡察108次；广东省行政执法信息公示平台上各执法行为案件结果公示及时率90.16%。</w:t>
      </w:r>
    </w:p>
    <w:p>
      <w:pPr>
        <w:pStyle w:val="5"/>
        <w:keepNext w:val="0"/>
        <w:keepLines w:val="0"/>
        <w:pageBreakBefore w:val="0"/>
        <w:kinsoku/>
        <w:wordWrap/>
        <w:overflowPunct/>
        <w:topLinePunct w:val="0"/>
        <w:bidi w:val="0"/>
        <w:spacing w:line="540" w:lineRule="exact"/>
        <w:ind w:left="0" w:leftChars="0" w:firstLine="643"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color w:val="auto"/>
          <w:kern w:val="2"/>
          <w:sz w:val="32"/>
          <w:szCs w:val="32"/>
          <w:lang w:val="en-US" w:eastAsia="zh-CN" w:bidi="ar-SA"/>
        </w:rPr>
        <w:t>规范涉企执法着力优化营商环境。</w:t>
      </w:r>
      <w:r>
        <w:rPr>
          <w:rFonts w:hint="eastAsia" w:ascii="仿宋_GB2312" w:hAnsi="仿宋_GB2312" w:eastAsia="仿宋_GB2312" w:cs="仿宋_GB2312"/>
          <w:b w:val="0"/>
          <w:bCs w:val="0"/>
          <w:color w:val="auto"/>
          <w:kern w:val="2"/>
          <w:sz w:val="32"/>
          <w:szCs w:val="32"/>
          <w:lang w:val="en-US" w:eastAsia="zh-CN" w:bidi="ar-SA"/>
        </w:rPr>
        <w:t>大力推行“综合查一次”，整合多个执法部门的检查事项，实现“一次上门、全面体检”。2025年以来，我县各执法单位开展“综合查一次”联合检查共计35次，检查企业162家，减少上门检查752次。深入实施柔性执法。组织各执法部门结合各执法领域法律、行政法规、规章的“立改废释”和自由裁量基准制定的相关规定和要求，在《始兴县包容审慎监管减免责清单汇编》第一批、第二批的基础上，结合工作实际梳理并更新清单内容，目前正筹备制定出台始兴县包容审慎监管事项清单（2025年版）。</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outlineLvl w:val="9"/>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b/>
          <w:bCs/>
          <w:sz w:val="32"/>
          <w:szCs w:val="32"/>
          <w:lang w:val="en-US" w:eastAsia="zh-CN"/>
        </w:rPr>
        <w:t>5.做好普法与依法治理工作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开展2025年“百名法学家百场报告会”暨“民法典宣讲乡村行”活动、始兴县2025年政治轮训暨“始兴政法大讲堂”活动；开展“美好生活·民法典相伴”系列法治宣传以及民法典进企业、进军营、进社区、进学校等各类法治宣传活动；举办“防范校园欺凌”普法讲座、“法治护航成长”预防和治理未成年人违法犯罪法治宣传活动、“民法典进校园”法治宣传志愿服务活动、“模拟法庭”进校园、法治“开学第一课”等青少年法治宣传教育和法治实践活动180余场次；注重围绕助力高质量发展和社会民生领域开展普法宣传380余场次，派发法治宣传资料15万余份，村（居）民法治意识和法律素养进一步增强。</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b/>
          <w:bCs/>
          <w:sz w:val="32"/>
          <w:szCs w:val="32"/>
          <w:lang w:val="en-US" w:eastAsia="zh-CN"/>
        </w:rPr>
        <w:t>6.加强特殊人群管控工作。</w:t>
      </w:r>
      <w:r>
        <w:rPr>
          <w:rFonts w:hint="eastAsia" w:ascii="仿宋_GB2312" w:hAnsi="仿宋_GB2312" w:eastAsia="仿宋_GB2312" w:cs="仿宋_GB2312"/>
          <w:b w:val="0"/>
          <w:bCs w:val="0"/>
          <w:sz w:val="32"/>
          <w:szCs w:val="32"/>
          <w:lang w:val="en-US" w:eastAsia="zh-CN"/>
        </w:rPr>
        <w:t>我县目前在册社区矫正对象114人，其中管制0人，缓刑107人，假释5人，暂予监外执行2人。2025年累计接收82人，累计解除/终止106人。累计远程视频帮教会见110宗，累计开展社会调查评估59宗，累计开展信息化核查验证12.8万余人次，处置违反监管规定情形31起，依法给予警告5人次、训诫26人次。目前</w:t>
      </w:r>
      <w:r>
        <w:rPr>
          <w:rFonts w:hint="eastAsia" w:ascii="仿宋_GB2312" w:hAnsi="仿宋_GB2312" w:eastAsia="仿宋_GB2312" w:cs="仿宋_GB2312"/>
          <w:color w:val="auto"/>
          <w:sz w:val="32"/>
          <w:szCs w:val="32"/>
          <w:lang w:val="en-US" w:eastAsia="zh-CN"/>
        </w:rPr>
        <w:t>在册安置帮教人员1086人，其中重点帮教对象141人。2025年接收刑释人员255人，其中重点帮教对象16人。</w:t>
      </w:r>
    </w:p>
    <w:p>
      <w:pPr>
        <w:keepNext w:val="0"/>
        <w:keepLines w:val="0"/>
        <w:pageBreakBefore w:val="0"/>
        <w:widowControl w:val="0"/>
        <w:kinsoku/>
        <w:wordWrap/>
        <w:overflowPunct/>
        <w:topLinePunct w:val="0"/>
        <w:autoSpaceDE w:val="0"/>
        <w:bidi w:val="0"/>
        <w:spacing w:beforeAutospacing="0" w:line="520" w:lineRule="exact"/>
        <w:ind w:left="0" w:firstLine="643" w:firstLineChars="200"/>
        <w:textAlignment w:val="auto"/>
        <w:rPr>
          <w:rFonts w:hint="eastAsia" w:ascii="仿宋_GB2312" w:eastAsia="仿宋_GB2312" w:cs="仿宋_GB2312"/>
          <w:b w:val="0"/>
          <w:bCs w:val="0"/>
          <w:color w:val="auto"/>
          <w:sz w:val="32"/>
          <w:szCs w:val="32"/>
          <w:lang w:val="en-US" w:eastAsia="zh-CN" w:bidi="ar-SA"/>
        </w:rPr>
      </w:pPr>
      <w:r>
        <w:rPr>
          <w:rFonts w:hint="eastAsia" w:ascii="仿宋_GB2312" w:hAnsi="仿宋_GB2312" w:eastAsia="仿宋_GB2312" w:cs="仿宋_GB2312"/>
          <w:b/>
          <w:bCs/>
          <w:sz w:val="32"/>
          <w:szCs w:val="32"/>
          <w:lang w:val="en-US" w:eastAsia="zh-CN"/>
        </w:rPr>
        <w:t>7.充分发挥人民调解职能。</w:t>
      </w:r>
      <w:r>
        <w:rPr>
          <w:rFonts w:hint="eastAsia" w:ascii="仿宋_GB2312" w:hAnsi="仿宋_GB2312" w:eastAsia="仿宋_GB2312" w:cs="仿宋_GB2312"/>
          <w:b w:val="0"/>
          <w:bCs w:val="0"/>
          <w:sz w:val="32"/>
          <w:szCs w:val="32"/>
          <w:lang w:val="en-US" w:eastAsia="zh-CN"/>
        </w:rPr>
        <w:t>深化“1+6+N”基层社会治理工作，打造“枫桥经验”始兴模式。在全县范围内开展矛盾纠纷排查化解专项活动，组织工作人员深入基层指导督促，加强业务指导。2</w:t>
      </w:r>
      <w:r>
        <w:rPr>
          <w:rFonts w:hint="eastAsia" w:ascii="仿宋_GB2312" w:eastAsia="仿宋_GB2312" w:cs="仿宋_GB2312"/>
          <w:b w:val="0"/>
          <w:bCs w:val="0"/>
          <w:color w:val="auto"/>
          <w:sz w:val="32"/>
          <w:szCs w:val="32"/>
          <w:lang w:val="en-US" w:eastAsia="zh-CN" w:bidi="ar-SA"/>
        </w:rPr>
        <w:t>025年，全县各级调解组织共调解纠纷1701宗，成功率达98%以上，涉及金额2183.52万元，开展矛盾纠纷排查6785次。共核发“以案定补”案件502宗，发放案件补贴约6.41万元。</w:t>
      </w:r>
    </w:p>
    <w:p>
      <w:pPr>
        <w:keepNext w:val="0"/>
        <w:keepLines w:val="0"/>
        <w:pageBreakBefore w:val="0"/>
        <w:widowControl w:val="0"/>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8.做好法律援助工作。</w:t>
      </w:r>
      <w:r>
        <w:rPr>
          <w:rFonts w:hint="eastAsia" w:ascii="仿宋_GB2312" w:hAnsi="仿宋_GB2312" w:eastAsia="仿宋_GB2312" w:cs="仿宋_GB2312"/>
          <w:b w:val="0"/>
          <w:bCs w:val="0"/>
          <w:sz w:val="32"/>
          <w:szCs w:val="32"/>
          <w:lang w:val="en-US" w:eastAsia="zh-CN"/>
        </w:rPr>
        <w:t>县法律援助处共受理各类法律援助案件454宗，其中民事案件45宗，刑事案件262宗，代写法律文书147件次；共解答群众法律咨询2000余人次，开展各项法律援助宣传活动12场次，发放各项法律援助宣传资料及宣传物品3500余份；</w:t>
      </w:r>
      <w:r>
        <w:rPr>
          <w:rFonts w:hint="eastAsia" w:ascii="仿宋" w:hAnsi="仿宋" w:eastAsia="仿宋" w:cs="仿宋"/>
          <w:b w:val="0"/>
          <w:bCs w:val="0"/>
          <w:sz w:val="32"/>
          <w:szCs w:val="32"/>
          <w:highlight w:val="none"/>
          <w:lang w:val="en-US" w:eastAsia="zh-CN"/>
        </w:rPr>
        <w:t>办理市域通办案件3宗。</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9.公证服务便民利民。</w:t>
      </w:r>
      <w:r>
        <w:rPr>
          <w:rFonts w:hint="eastAsia" w:ascii="仿宋_GB2312" w:hAnsi="仿宋_GB2312" w:eastAsia="仿宋_GB2312" w:cs="仿宋_GB2312"/>
          <w:b w:val="0"/>
          <w:bCs w:val="0"/>
          <w:kern w:val="2"/>
          <w:sz w:val="32"/>
          <w:szCs w:val="32"/>
          <w:lang w:val="en-US" w:eastAsia="zh-CN" w:bidi="ar-SA"/>
        </w:rPr>
        <w:t xml:space="preserve">始兴县公证处2025年以来，出具查询函76份，咨询清单119份；出具各类公证书189份，其中民事类公证142份、涉外及涉港澳台公证47份，公证文书合格率100%；依托“高效办成一件事”改革要求，实现重点公证事项办理时限平均压缩20%；针对老年人、残疾人等特殊群体提供上门服务4次，为特殊困难群体减免费用约1300元，开辟“绿色通道”办理公证46份，切实解决了群众办事难题；群众跑动次数平均减少 1.5 次，服务便捷度显著提高。​ </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（二）管理效率分析</w:t>
      </w:r>
    </w:p>
    <w:p>
      <w:pPr>
        <w:keepNext w:val="0"/>
        <w:keepLines w:val="0"/>
        <w:pageBreakBefore w:val="0"/>
        <w:kinsoku/>
        <w:wordWrap/>
        <w:overflowPunct/>
        <w:topLinePunct w:val="0"/>
        <w:autoSpaceDN/>
        <w:bidi w:val="0"/>
        <w:adjustRightInd/>
        <w:snapToGrid/>
        <w:spacing w:line="560" w:lineRule="exact"/>
        <w:ind w:left="0" w:firstLine="480" w:firstLineChars="150"/>
        <w:jc w:val="left"/>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rPr>
        <w:t>始兴县司法局在预算执行上严格执行《中华人民共和国预算法》以及财政部门有关预算管理的规定，无随意调整预算的情况，各项收支均纳入预算管理，在预算执行中无违反国家法律法规的问题。</w:t>
      </w:r>
      <w:r>
        <w:rPr>
          <w:rFonts w:hint="eastAsia" w:ascii="仿宋_GB2312" w:hAnsi="仿宋_GB2312" w:eastAsia="仿宋_GB2312"/>
          <w:sz w:val="32"/>
          <w:szCs w:val="32"/>
          <w:lang w:eastAsia="zh-CN"/>
        </w:rPr>
        <w:t>我单位及时公开预决算信息，遵循政府采购管理规定和固定资产管理规定，按时对资金使用情况进行绩效评价，没有超支运行。</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Times New Roman" w:eastAsia="仿宋_GB2312"/>
          <w:kern w:val="2"/>
          <w:sz w:val="32"/>
          <w:szCs w:val="32"/>
        </w:rPr>
      </w:pPr>
      <w:r>
        <w:rPr>
          <w:rFonts w:hint="eastAsia" w:ascii="仿宋_GB2312" w:hAnsi="仿宋_GB2312" w:eastAsia="仿宋_GB2312" w:cs="仿宋_GB2312"/>
          <w:color w:val="auto"/>
          <w:kern w:val="0"/>
          <w:sz w:val="32"/>
          <w:szCs w:val="32"/>
          <w:lang w:val="en-US" w:eastAsia="zh-CN" w:bidi="ar"/>
        </w:rPr>
        <w:t>2025年本部门收入预算1441.24万元，比上年增加20.91万元，下降1.4%，主要原因是中央级和省级专项资金减少；2025年本部门支出预算1441.24万元，比上年增加20.91万元，下降1.4%，主要原因是中央级和省级专项资金减少。</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Times New Roman" w:eastAsia="仿宋_GB2312"/>
          <w:kern w:val="2"/>
          <w:sz w:val="32"/>
          <w:szCs w:val="32"/>
        </w:rPr>
      </w:pPr>
      <w:r>
        <w:rPr>
          <w:rFonts w:hint="eastAsia" w:ascii="仿宋_GB2312" w:hAnsi="Times New Roman" w:eastAsia="仿宋_GB2312"/>
          <w:kern w:val="2"/>
          <w:sz w:val="32"/>
          <w:szCs w:val="32"/>
        </w:rPr>
        <w:t>202</w:t>
      </w:r>
      <w:r>
        <w:rPr>
          <w:rFonts w:hint="eastAsia" w:ascii="仿宋_GB2312" w:hAnsi="Times New Roman" w:eastAsia="仿宋_GB2312"/>
          <w:kern w:val="2"/>
          <w:sz w:val="32"/>
          <w:szCs w:val="32"/>
          <w:lang w:val="en-US" w:eastAsia="zh-CN"/>
        </w:rPr>
        <w:t>5</w:t>
      </w:r>
      <w:r>
        <w:rPr>
          <w:rFonts w:hint="eastAsia" w:ascii="仿宋_GB2312" w:hAnsi="Times New Roman" w:eastAsia="仿宋_GB2312"/>
          <w:kern w:val="2"/>
          <w:sz w:val="32"/>
          <w:szCs w:val="32"/>
        </w:rPr>
        <w:t>年，县司法局“三公经费”预算支出合计</w:t>
      </w:r>
      <w:r>
        <w:rPr>
          <w:rFonts w:hint="eastAsia" w:ascii="仿宋_GB2312" w:hAnsi="Times New Roman" w:eastAsia="仿宋_GB2312"/>
          <w:kern w:val="2"/>
          <w:sz w:val="32"/>
          <w:szCs w:val="32"/>
          <w:lang w:val="en-US" w:eastAsia="zh-CN"/>
        </w:rPr>
        <w:t>13.4</w:t>
      </w:r>
      <w:r>
        <w:rPr>
          <w:rFonts w:hint="eastAsia" w:ascii="仿宋_GB2312" w:hAnsi="Times New Roman" w:eastAsia="仿宋_GB2312"/>
          <w:kern w:val="2"/>
          <w:sz w:val="32"/>
          <w:szCs w:val="32"/>
        </w:rPr>
        <w:t>万元，其中:公务接待费</w:t>
      </w:r>
      <w:r>
        <w:rPr>
          <w:rFonts w:hint="eastAsia" w:ascii="仿宋_GB2312" w:hAnsi="Times New Roman" w:eastAsia="仿宋_GB2312"/>
          <w:kern w:val="2"/>
          <w:sz w:val="32"/>
          <w:szCs w:val="32"/>
          <w:lang w:val="en-US" w:eastAsia="zh-CN"/>
        </w:rPr>
        <w:t>7</w:t>
      </w:r>
      <w:r>
        <w:rPr>
          <w:rFonts w:hint="eastAsia" w:ascii="仿宋_GB2312" w:hAnsi="Times New Roman" w:eastAsia="仿宋_GB2312"/>
          <w:kern w:val="2"/>
          <w:sz w:val="32"/>
          <w:szCs w:val="32"/>
        </w:rPr>
        <w:t>万元，占比52.24%;公车运行维护费</w:t>
      </w:r>
      <w:r>
        <w:rPr>
          <w:rFonts w:hint="eastAsia" w:ascii="仿宋_GB2312" w:hAnsi="Times New Roman" w:eastAsia="仿宋_GB2312"/>
          <w:kern w:val="2"/>
          <w:sz w:val="32"/>
          <w:szCs w:val="32"/>
          <w:lang w:val="en-US" w:eastAsia="zh-CN"/>
        </w:rPr>
        <w:t>6.4</w:t>
      </w:r>
      <w:r>
        <w:rPr>
          <w:rFonts w:hint="eastAsia" w:ascii="仿宋_GB2312" w:hAnsi="Times New Roman" w:eastAsia="仿宋_GB2312"/>
          <w:kern w:val="2"/>
          <w:sz w:val="32"/>
          <w:szCs w:val="32"/>
        </w:rPr>
        <w:t>万元，占比47.76%。实际支出</w:t>
      </w:r>
      <w:r>
        <w:rPr>
          <w:rFonts w:hint="eastAsia" w:ascii="仿宋_GB2312" w:hAnsi="Times New Roman" w:eastAsia="仿宋_GB2312"/>
          <w:kern w:val="2"/>
          <w:sz w:val="32"/>
          <w:szCs w:val="32"/>
          <w:lang w:val="en-US" w:eastAsia="zh-CN"/>
        </w:rPr>
        <w:t>5.11</w:t>
      </w:r>
      <w:r>
        <w:rPr>
          <w:rFonts w:hint="eastAsia" w:ascii="仿宋_GB2312" w:hAnsi="Times New Roman" w:eastAsia="仿宋_GB2312"/>
          <w:kern w:val="2"/>
          <w:sz w:val="32"/>
          <w:szCs w:val="32"/>
        </w:rPr>
        <w:t>万元，没有超出预算。</w:t>
      </w:r>
    </w:p>
    <w:p>
      <w:pPr>
        <w:keepNext w:val="0"/>
        <w:keepLines w:val="0"/>
        <w:pageBreakBefore w:val="0"/>
        <w:numPr>
          <w:ilvl w:val="0"/>
          <w:numId w:val="3"/>
        </w:numPr>
        <w:kinsoku/>
        <w:wordWrap/>
        <w:overflowPunct/>
        <w:topLinePunct w:val="0"/>
        <w:autoSpaceDN/>
        <w:bidi w:val="0"/>
        <w:adjustRightInd/>
        <w:snapToGrid/>
        <w:spacing w:line="560" w:lineRule="exact"/>
        <w:ind w:left="0" w:leftChars="0" w:right="0" w:rightChars="0"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自评结论</w:t>
      </w:r>
    </w:p>
    <w:p>
      <w:pPr>
        <w:keepNext w:val="0"/>
        <w:keepLines w:val="0"/>
        <w:pageBreakBefore w:val="0"/>
        <w:kinsoku/>
        <w:wordWrap/>
        <w:overflowPunct/>
        <w:topLinePunct w:val="0"/>
        <w:autoSpaceDN/>
        <w:bidi w:val="0"/>
        <w:adjustRightInd/>
        <w:snapToGrid/>
        <w:spacing w:line="560" w:lineRule="exact"/>
        <w:ind w:left="0" w:firstLine="579" w:firstLineChars="181"/>
        <w:jc w:val="left"/>
        <w:textAlignment w:val="auto"/>
        <w:rPr>
          <w:rFonts w:hint="eastAsia" w:ascii="仿宋_GB2312" w:eastAsia="仿宋_GB2312"/>
          <w:sz w:val="32"/>
          <w:szCs w:val="32"/>
        </w:rPr>
      </w:pPr>
      <w:r>
        <w:rPr>
          <w:rFonts w:hint="eastAsia" w:ascii="仿宋_GB2312" w:eastAsia="仿宋_GB2312"/>
          <w:sz w:val="32"/>
          <w:szCs w:val="32"/>
        </w:rPr>
        <w:t>我单位部门整体支出资金使用和管理中，实际支出与计划规定的用途一致，资金收支平衡。资金使用都能做到公开、公平，按程序上报和审批。财务制度健全，财务信息真实完整，无截留、挤占、挪用等违规行为。本单位202</w:t>
      </w:r>
      <w:r>
        <w:rPr>
          <w:rFonts w:hint="eastAsia" w:ascii="仿宋_GB2312" w:eastAsia="仿宋_GB2312"/>
          <w:sz w:val="32"/>
          <w:szCs w:val="32"/>
          <w:lang w:val="en-US" w:eastAsia="zh-CN"/>
        </w:rPr>
        <w:t>4</w:t>
      </w:r>
      <w:r>
        <w:rPr>
          <w:rFonts w:hint="eastAsia" w:ascii="仿宋_GB2312" w:eastAsia="仿宋_GB2312"/>
          <w:sz w:val="32"/>
          <w:szCs w:val="32"/>
        </w:rPr>
        <w:t>年度绩效评价得分为98分，自我评价：优。</w:t>
      </w:r>
    </w:p>
    <w:p>
      <w:pPr>
        <w:keepNext w:val="0"/>
        <w:keepLines w:val="0"/>
        <w:pageBreakBefore w:val="0"/>
        <w:numPr>
          <w:ilvl w:val="0"/>
          <w:numId w:val="4"/>
        </w:numPr>
        <w:kinsoku/>
        <w:wordWrap/>
        <w:overflowPunct/>
        <w:topLinePunct w:val="0"/>
        <w:autoSpaceDN/>
        <w:bidi w:val="0"/>
        <w:adjustRightInd/>
        <w:snapToGrid/>
        <w:spacing w:line="560" w:lineRule="exact"/>
        <w:ind w:left="0" w:leftChars="0" w:right="0" w:rightChars="0" w:firstLine="640" w:firstLineChars="200"/>
        <w:jc w:val="left"/>
        <w:textAlignment w:val="auto"/>
        <w:rPr>
          <w:rFonts w:hint="eastAsia" w:ascii="黑体" w:hAnsi="黑体" w:eastAsia="黑体"/>
          <w:sz w:val="32"/>
          <w:szCs w:val="32"/>
        </w:rPr>
      </w:pPr>
      <w:r>
        <w:rPr>
          <w:rFonts w:hint="eastAsia" w:ascii="黑体" w:hAnsi="黑体" w:eastAsia="黑体"/>
          <w:sz w:val="32"/>
          <w:szCs w:val="32"/>
        </w:rPr>
        <w:t>存在问题及改进意见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（一）法治宣传教育整体宣传效果有待提升。</w:t>
      </w:r>
      <w:r>
        <w:rPr>
          <w:rFonts w:hint="eastAsia" w:ascii="仿宋_GB2312" w:hAnsi="仿宋_GB2312" w:eastAsia="仿宋_GB2312" w:cs="仿宋_GB2312"/>
          <w:kern w:val="2"/>
          <w:sz w:val="32"/>
          <w:szCs w:val="32"/>
          <w:lang w:val="en-US" w:eastAsia="zh-CN" w:bidi="ar-SA"/>
        </w:rPr>
        <w:t>目前我局进一步丰富了普法活动形式，但主要停留在县一级层面，乡村普法宣传活动形式仍较为单一，乡村普法成效有待进一步提升。部分单位对本部门系统常用的法律法规学习宣传较多，对于共性的法律法规学习不够重视，如对宪法、民法典等法律没有进行很好地学习宣传，普法的深度和广度有待提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（二）粤执法平台办案使用率亟待提升。</w:t>
      </w:r>
      <w:r>
        <w:rPr>
          <w:rFonts w:hint="eastAsia" w:ascii="仿宋_GB2312" w:hAnsi="仿宋_GB2312" w:eastAsia="仿宋_GB2312" w:cs="仿宋_GB2312"/>
          <w:b w:val="0"/>
          <w:bCs w:val="0"/>
          <w:sz w:val="32"/>
          <w:szCs w:val="32"/>
          <w:lang w:val="en-US" w:eastAsia="zh-CN"/>
        </w:rPr>
        <w:t>目前我县粤执法平台的使用情况在全市排名中间，部分执法部门仍未习惯用粤执法平台办案，出现不督促不使用的现象，故目前的平台办案使用率还有上升的空间。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公共法律服务实体平台岗位人员严重不足</w:t>
      </w:r>
      <w:r>
        <w:rPr>
          <w:rFonts w:hint="eastAsia" w:ascii="楷体_GB2312" w:hAnsi="楷体_GB2312" w:eastAsia="楷体_GB2312" w:cs="楷体_GB2312"/>
          <w:sz w:val="32"/>
          <w:szCs w:val="32"/>
          <w:lang w:eastAsia="zh-CN"/>
        </w:rPr>
        <w:t>。</w:t>
      </w:r>
      <w:r>
        <w:rPr>
          <w:rFonts w:hint="eastAsia" w:ascii="仿宋_GB2312" w:eastAsia="仿宋_GB2312"/>
          <w:sz w:val="32"/>
          <w:szCs w:val="32"/>
        </w:rPr>
        <w:t>每万人拥有律师数与发达地区还存在巨大差距，公证员不足</w:t>
      </w:r>
      <w:r>
        <w:rPr>
          <w:rFonts w:hint="eastAsia" w:ascii="仿宋_GB2312" w:eastAsia="仿宋_GB2312"/>
          <w:sz w:val="32"/>
          <w:szCs w:val="32"/>
          <w:lang w:eastAsia="zh-CN"/>
        </w:rPr>
        <w:t>导致曾经暂停</w:t>
      </w:r>
      <w:r>
        <w:rPr>
          <w:rFonts w:hint="eastAsia" w:ascii="仿宋_GB2312" w:eastAsia="仿宋_GB2312"/>
          <w:sz w:val="32"/>
          <w:szCs w:val="32"/>
        </w:rPr>
        <w:t>办理公证业务，法律专业人才稀缺且逐年流失。专业型法律资源基本分布在县城，乡镇及村（</w:t>
      </w:r>
      <w:r>
        <w:rPr>
          <w:rFonts w:hint="eastAsia" w:ascii="仿宋_GB2312" w:eastAsia="仿宋_GB2312"/>
          <w:sz w:val="32"/>
          <w:szCs w:val="32"/>
          <w:lang w:eastAsia="zh-CN"/>
        </w:rPr>
        <w:t>社区</w:t>
      </w:r>
      <w:r>
        <w:rPr>
          <w:rFonts w:hint="eastAsia" w:ascii="仿宋_GB2312" w:eastAsia="仿宋_GB2312"/>
          <w:sz w:val="32"/>
          <w:szCs w:val="32"/>
        </w:rPr>
        <w:t>）资源尤为匮乏。</w:t>
      </w:r>
    </w:p>
    <w:p>
      <w:pPr>
        <w:pStyle w:val="22"/>
        <w:keepNext w:val="0"/>
        <w:keepLines w:val="0"/>
        <w:pageBreakBefore w:val="0"/>
        <w:widowControl w:val="0"/>
        <w:pBdr>
          <w:bottom w:val="single" w:color="DDDDDD" w:sz="2" w:space="20"/>
        </w:pBdr>
        <w:kinsoku/>
        <w:wordWrap/>
        <w:overflowPunct/>
        <w:topLinePunct w:val="0"/>
        <w:autoSpaceDE/>
        <w:autoSpaceDN w:val="0"/>
        <w:bidi w:val="0"/>
        <w:adjustRightInd w:val="0"/>
        <w:snapToGrid/>
        <w:spacing w:line="540" w:lineRule="exact"/>
        <w:ind w:left="0" w:firstLine="640" w:firstLineChars="200"/>
        <w:jc w:val="left"/>
        <w:textAlignment w:val="auto"/>
        <w:rPr>
          <w:rFonts w:hint="eastAsia" w:ascii="仿宋_GB2312" w:eastAsia="仿宋_GB2312" w:cs="仿宋_GB2312"/>
          <w:color w:val="auto"/>
          <w:spacing w:val="0"/>
          <w:sz w:val="32"/>
          <w:szCs w:val="32"/>
          <w:lang w:val="en-US" w:eastAsia="zh-CN"/>
        </w:rPr>
      </w:pPr>
      <w:r>
        <w:rPr>
          <w:rFonts w:hint="eastAsia" w:ascii="楷体_GB2312" w:hAnsi="楷体_GB2312" w:eastAsia="楷体_GB2312" w:cs="楷体_GB2312"/>
          <w:sz w:val="32"/>
          <w:szCs w:val="32"/>
        </w:rPr>
        <w:t>改进措施</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color w:val="auto"/>
          <w:spacing w:val="0"/>
          <w:sz w:val="32"/>
          <w:szCs w:val="32"/>
          <w:lang w:val="en-US" w:eastAsia="zh-CN"/>
        </w:rPr>
        <w:t>1.切实加强法治宣传教育工作。</w:t>
      </w:r>
      <w:r>
        <w:rPr>
          <w:rFonts w:hint="eastAsia" w:ascii="仿宋_GB2312" w:eastAsia="仿宋_GB2312" w:cs="仿宋_GB2312"/>
          <w:color w:val="auto"/>
          <w:spacing w:val="0"/>
          <w:sz w:val="32"/>
          <w:szCs w:val="32"/>
          <w:lang w:val="en-US" w:eastAsia="zh-CN"/>
        </w:rPr>
        <w:t>切实抓好“八五”普法总结和“九五”普法的规划组织，加大全民法治宣传教育力度，丰富法治宣传形式，推动法治宣传向乡村延伸，提高乡村普法成效。针对不同群体，制定个性化的普法方案，加强对宪法、民法典等共性法律法规的学习宣传，提升普法的深度和广度。</w:t>
      </w:r>
    </w:p>
    <w:p>
      <w:pPr>
        <w:pStyle w:val="22"/>
        <w:keepNext w:val="0"/>
        <w:keepLines w:val="0"/>
        <w:pageBreakBefore w:val="0"/>
        <w:widowControl w:val="0"/>
        <w:pBdr>
          <w:bottom w:val="single" w:color="DDDDDD" w:sz="2" w:space="20"/>
        </w:pBdr>
        <w:kinsoku/>
        <w:wordWrap/>
        <w:overflowPunct/>
        <w:topLinePunct w:val="0"/>
        <w:autoSpaceDE/>
        <w:autoSpaceDN w:val="0"/>
        <w:bidi w:val="0"/>
        <w:adjustRightInd w:val="0"/>
        <w:snapToGrid/>
        <w:spacing w:line="540" w:lineRule="exact"/>
        <w:ind w:left="0" w:firstLine="640" w:firstLineChars="200"/>
        <w:jc w:val="left"/>
        <w:textAlignment w:val="auto"/>
        <w:rPr>
          <w:rFonts w:hint="eastAsia" w:ascii="仿宋_GB2312" w:eastAsia="仿宋_GB2312" w:cs="仿宋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2.加强公共法律服务体系建设。</w:t>
      </w:r>
      <w:r>
        <w:rPr>
          <w:rFonts w:hint="eastAsia" w:ascii="仿宋_GB2312" w:eastAsia="仿宋_GB2312" w:cs="仿宋_GB2312"/>
          <w:color w:val="auto"/>
          <w:spacing w:val="0"/>
          <w:sz w:val="32"/>
          <w:szCs w:val="32"/>
          <w:lang w:val="en-US" w:eastAsia="zh-CN"/>
        </w:rPr>
        <w:t>积极鼓励干部职工参加法律职业资格考试，储备法律专业人才，提高每万人拥有律师数，解决公证员不足的问题。同时，推动法律专业资源向乡镇及村（社区）倾斜，为基层群众提供便捷的法律服务。合理配置公共法律服务资源，律师、公证、法律援助、人民调解、行政复议等各项法律服务业务全面发展，满足不同群体、不同领域的法律服务需求。</w:t>
      </w:r>
    </w:p>
    <w:p>
      <w:pPr>
        <w:pStyle w:val="22"/>
        <w:keepNext w:val="0"/>
        <w:keepLines w:val="0"/>
        <w:pageBreakBefore w:val="0"/>
        <w:widowControl w:val="0"/>
        <w:pBdr>
          <w:bottom w:val="single" w:color="DDDDDD" w:sz="2" w:space="20"/>
        </w:pBdr>
        <w:kinsoku/>
        <w:wordWrap/>
        <w:overflowPunct/>
        <w:topLinePunct w:val="0"/>
        <w:autoSpaceDE/>
        <w:autoSpaceDN w:val="0"/>
        <w:bidi w:val="0"/>
        <w:adjustRightInd w:val="0"/>
        <w:snapToGrid/>
        <w:spacing w:line="540" w:lineRule="exact"/>
        <w:ind w:left="0" w:firstLine="640" w:firstLineChars="200"/>
        <w:jc w:val="left"/>
        <w:textAlignment w:val="auto"/>
        <w:rPr>
          <w:rFonts w:hint="eastAsia" w:ascii="仿宋_GB2312" w:eastAsia="仿宋_GB2312" w:cs="仿宋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3.继续做好矛盾纠纷排查调解工作。</w:t>
      </w:r>
      <w:r>
        <w:rPr>
          <w:rFonts w:hint="eastAsia" w:ascii="仿宋_GB2312" w:eastAsia="仿宋_GB2312" w:cs="仿宋_GB2312"/>
          <w:color w:val="auto"/>
          <w:spacing w:val="0"/>
          <w:sz w:val="32"/>
          <w:szCs w:val="32"/>
          <w:lang w:val="en-US" w:eastAsia="zh-CN"/>
        </w:rPr>
        <w:t>完成年调解率不低于98%的目标，继续健全完善人民调解与行政调解、司法调解的衔接配合机制，进一步推进行业性、专业性人民调解组织建设，继续加强全县人民调解员业务学习培训。推进乡村矛盾纠纷排查化解，大力加强乡村人民调解委员会规范化建设。</w:t>
      </w:r>
    </w:p>
    <w:p>
      <w:pPr>
        <w:pStyle w:val="22"/>
        <w:keepNext w:val="0"/>
        <w:keepLines w:val="0"/>
        <w:pageBreakBefore w:val="0"/>
        <w:widowControl w:val="0"/>
        <w:pBdr>
          <w:bottom w:val="single" w:color="DDDDDD" w:sz="2" w:space="20"/>
        </w:pBdr>
        <w:kinsoku/>
        <w:wordWrap/>
        <w:overflowPunct/>
        <w:topLinePunct w:val="0"/>
        <w:autoSpaceDE/>
        <w:autoSpaceDN w:val="0"/>
        <w:bidi w:val="0"/>
        <w:adjustRightInd w:val="0"/>
        <w:snapToGrid/>
        <w:spacing w:line="540" w:lineRule="exact"/>
        <w:ind w:left="0" w:firstLine="640" w:firstLineChars="200"/>
        <w:jc w:val="left"/>
        <w:textAlignment w:val="auto"/>
        <w:rPr>
          <w:rFonts w:hint="eastAsia" w:ascii="仿宋_GB2312" w:eastAsia="仿宋_GB2312" w:cs="仿宋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4.强化特殊人群管控。</w:t>
      </w:r>
      <w:r>
        <w:rPr>
          <w:rFonts w:hint="eastAsia" w:ascii="仿宋_GB2312" w:eastAsia="仿宋_GB2312" w:cs="仿宋_GB2312"/>
          <w:color w:val="auto"/>
          <w:spacing w:val="0"/>
          <w:sz w:val="32"/>
          <w:szCs w:val="32"/>
          <w:lang w:val="en-US" w:eastAsia="zh-CN"/>
        </w:rPr>
        <w:t>严格落实社区矫正监管管理和教育帮扶措施，对社区矫正、安置帮教对象开展全方位、多领域排查分析，加强研判，深入查找影响安全稳定的薄弱环节，及时采取相应措施整改，防止脱管漏管和严重重新违法犯罪事件的发生。</w:t>
      </w:r>
    </w:p>
    <w:p>
      <w:pPr>
        <w:numPr>
          <w:ilvl w:val="0"/>
          <w:numId w:val="0"/>
        </w:numPr>
        <w:ind w:right="0" w:rightChars="0" w:firstLine="640" w:firstLineChars="200"/>
        <w:jc w:val="left"/>
        <w:rPr>
          <w:rFonts w:hint="eastAsia" w:ascii="仿宋_GB2312" w:hAnsi="仿宋_GB2312" w:eastAsia="仿宋_GB2312" w:cs="仿宋_GB2312"/>
          <w:sz w:val="32"/>
          <w:lang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0002AFF" w:usb1="C000247B" w:usb2="00000009" w:usb3="00000000" w:csb0="200001FF" w:csb1="00000000"/>
  </w:font>
  <w:font w:name="Calibri">
    <w:panose1 w:val="020F0502020204030204"/>
    <w:charset w:val="00"/>
    <w:family w:val="roman"/>
    <w:pitch w:val="default"/>
    <w:sig w:usb0="E0002A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FangSong.GB2312">
    <w:altName w:val="宋体"/>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wps:spPr>
                    <wps:txbx>
                      <w:txbxContent>
                        <w:p>
                          <w:pPr>
                            <w:pStyle w:val="3"/>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EVnM1ccBAAB1AwAADgAAAAAAAAABACAAAAAeAQAAZHJzL2Uyb0RvYy54&#10;bWxQSwUGAAAAAAYABgBZAQAAVwUAAAAA&#10;">
              <v:fill on="f" focussize="0,0"/>
              <v:stroke on="f" joinstyle="miter"/>
              <v:imagedata o:title=""/>
              <o:lock v:ext="edit" aspectratio="f"/>
              <v:textbox inset="0mm,0mm,0mm,0mm" style="mso-fit-shape-to-text:t;">
                <w:txbxContent>
                  <w:p>
                    <w:pPr>
                      <w:pStyle w:val="3"/>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569755996">
    <w:nsid w:val="992B5D5C"/>
    <w:multiLevelType w:val="singleLevel"/>
    <w:tmpl w:val="992B5D5C"/>
    <w:lvl w:ilvl="0" w:tentative="1">
      <w:start w:val="1"/>
      <w:numFmt w:val="chineseCounting"/>
      <w:suff w:val="nothing"/>
      <w:lvlText w:val="（%1）"/>
      <w:lvlJc w:val="left"/>
      <w:rPr>
        <w:rFonts w:hint="eastAsia"/>
      </w:rPr>
    </w:lvl>
  </w:abstractNum>
  <w:abstractNum w:abstractNumId="4213793319">
    <w:nsid w:val="FB296227"/>
    <w:multiLevelType w:val="singleLevel"/>
    <w:tmpl w:val="FB296227"/>
    <w:lvl w:ilvl="0" w:tentative="1">
      <w:start w:val="3"/>
      <w:numFmt w:val="chineseCounting"/>
      <w:suff w:val="nothing"/>
      <w:lvlText w:val="%1、"/>
      <w:lvlJc w:val="left"/>
      <w:rPr>
        <w:rFonts w:hint="eastAsia"/>
      </w:rPr>
    </w:lvl>
  </w:abstractNum>
  <w:abstractNum w:abstractNumId="1921624878">
    <w:nsid w:val="7289AB2E"/>
    <w:multiLevelType w:val="singleLevel"/>
    <w:tmpl w:val="7289AB2E"/>
    <w:lvl w:ilvl="0" w:tentative="1">
      <w:start w:val="3"/>
      <w:numFmt w:val="chineseCounting"/>
      <w:suff w:val="nothing"/>
      <w:lvlText w:val="（%1）"/>
      <w:lvlJc w:val="left"/>
      <w:rPr>
        <w:rFonts w:hint="eastAsia"/>
      </w:rPr>
    </w:lvl>
  </w:abstractNum>
  <w:abstractNum w:abstractNumId="2791836161">
    <w:nsid w:val="A6680A01"/>
    <w:multiLevelType w:val="singleLevel"/>
    <w:tmpl w:val="A6680A01"/>
    <w:lvl w:ilvl="0" w:tentative="1">
      <w:start w:val="1"/>
      <w:numFmt w:val="decimal"/>
      <w:suff w:val="nothing"/>
      <w:lvlText w:val="%1．"/>
      <w:lvlJc w:val="left"/>
      <w:pPr>
        <w:ind w:left="0" w:firstLine="400"/>
      </w:pPr>
      <w:rPr>
        <w:rFonts w:hint="default"/>
      </w:rPr>
    </w:lvl>
  </w:abstractNum>
  <w:num w:numId="1">
    <w:abstractNumId w:val="2569755996"/>
  </w:num>
  <w:num w:numId="2">
    <w:abstractNumId w:val="2791836161"/>
  </w:num>
  <w:num w:numId="3">
    <w:abstractNumId w:val="1921624878"/>
  </w:num>
  <w:num w:numId="4">
    <w:abstractNumId w:val="4213793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NDhjM2RlNzIwYjEzYjVkNGYyZDAwZDY2ODliNWMifQ=="/>
  </w:docVars>
  <w:rsids>
    <w:rsidRoot w:val="00172A27"/>
    <w:rsid w:val="121B0F9A"/>
    <w:rsid w:val="19B07ACE"/>
    <w:rsid w:val="1D874326"/>
    <w:rsid w:val="22954109"/>
    <w:rsid w:val="3AAE3EFA"/>
    <w:rsid w:val="3D987913"/>
    <w:rsid w:val="41E128A5"/>
    <w:rsid w:val="467320EF"/>
    <w:rsid w:val="620204A2"/>
    <w:rsid w:val="6C2B222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eastAsia="宋体"/>
      <w:kern w:val="2"/>
      <w:sz w:val="21"/>
    </w:rPr>
  </w:style>
  <w:style w:type="paragraph" w:styleId="2">
    <w:name w:val="heading 3"/>
    <w:basedOn w:val="1"/>
    <w:next w:val="1"/>
    <w:unhideWhenUsed/>
    <w:qFormat/>
    <w:uiPriority w:val="0"/>
    <w:pPr>
      <w:spacing w:before="104" w:after="104"/>
      <w:outlineLvl w:val="2"/>
    </w:pPr>
  </w:style>
  <w:style w:type="character" w:default="1" w:styleId="7">
    <w:name w:val="Default Paragraph Font"/>
    <w:uiPriority w:val="0"/>
  </w:style>
  <w:style w:type="table" w:default="1" w:styleId="8">
    <w:name w:val="Normal Table"/>
    <w:semiHidden/>
    <w:uiPriority w:val="0"/>
    <w:tblPr>
      <w:tblStyle w:val="8"/>
      <w:tblLayout w:type="fixed"/>
      <w:tblCellMar>
        <w:top w:w="0" w:type="dxa"/>
        <w:left w:w="108" w:type="dxa"/>
        <w:bottom w:w="0" w:type="dxa"/>
        <w:right w:w="108" w:type="dxa"/>
      </w:tblCellMar>
    </w:tblPr>
    <w:tcPr>
      <w:textDirection w:val="tbRl"/>
    </w:tc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5">
    <w:name w:val="toc 2"/>
    <w:basedOn w:val="1"/>
    <w:next w:val="1"/>
    <w:uiPriority w:val="0"/>
    <w:pPr>
      <w:ind w:left="420" w:leftChars="200"/>
    </w:p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9">
    <w:name w:val="Normal"/>
    <w:uiPriority w:val="0"/>
    <w:pPr>
      <w:jc w:val="both"/>
    </w:pPr>
    <w:rPr>
      <w:rFonts w:eastAsia="宋体"/>
      <w:kern w:val="2"/>
      <w:sz w:val="21"/>
    </w:rPr>
  </w:style>
  <w:style w:type="paragraph" w:customStyle="1" w:styleId="10">
    <w:name w:val="正文 New New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1">
    <w:name w:val="正文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2">
    <w:name w:val="Normal New"/>
    <w:uiPriority w:val="0"/>
    <w:pPr>
      <w:jc w:val="both"/>
    </w:pPr>
    <w:rPr>
      <w:rFonts w:eastAsia="宋体"/>
      <w:kern w:val="2"/>
      <w:sz w:val="21"/>
    </w:rPr>
  </w:style>
  <w:style w:type="paragraph" w:customStyle="1" w:styleId="13">
    <w:name w:val="正文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4">
    <w:name w:val="Normal New New New New New"/>
    <w:uiPriority w:val="0"/>
    <w:pPr>
      <w:jc w:val="both"/>
    </w:pPr>
    <w:rPr>
      <w:rFonts w:eastAsia="宋体"/>
      <w:kern w:val="2"/>
      <w:sz w:val="21"/>
    </w:rPr>
  </w:style>
  <w:style w:type="paragraph" w:customStyle="1" w:styleId="15">
    <w:name w:val="正文 New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正文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8">
    <w:name w:val="Normal New New New New"/>
    <w:uiPriority w:val="0"/>
    <w:pPr>
      <w:jc w:val="both"/>
    </w:pPr>
    <w:rPr>
      <w:rFonts w:eastAsia="宋体"/>
      <w:kern w:val="2"/>
      <w:sz w:val="21"/>
    </w:rPr>
  </w:style>
  <w:style w:type="paragraph" w:customStyle="1" w:styleId="19">
    <w:name w:val="Normal New New New"/>
    <w:uiPriority w:val="0"/>
    <w:pPr>
      <w:jc w:val="both"/>
    </w:pPr>
    <w:rPr>
      <w:rFonts w:eastAsia="宋体"/>
      <w:kern w:val="2"/>
      <w:sz w:val="21"/>
    </w:rPr>
  </w:style>
  <w:style w:type="paragraph" w:customStyle="1" w:styleId="20">
    <w:name w:val="Normal New New"/>
    <w:uiPriority w:val="0"/>
    <w:pPr>
      <w:jc w:val="both"/>
    </w:pPr>
    <w:rPr>
      <w:rFonts w:eastAsia="宋体"/>
      <w:kern w:val="2"/>
      <w:sz w:val="21"/>
    </w:rPr>
  </w:style>
  <w:style w:type="paragraph" w:customStyle="1" w:styleId="21">
    <w:name w:val="Normal New New New New New New"/>
    <w:uiPriority w:val="0"/>
    <w:pPr>
      <w:jc w:val="both"/>
    </w:pPr>
    <w:rPr>
      <w:rFonts w:eastAsia="宋体"/>
      <w:kern w:val="2"/>
      <w:sz w:val="21"/>
    </w:rPr>
  </w:style>
  <w:style w:type="paragraph" w:customStyle="1" w:styleId="22">
    <w:name w:val="正文 New New New New New New New New New New New New New New New New New New New New New New New New New New New New New New New New New New New New New New New New New New New"/>
    <w:basedOn w:val="1"/>
    <w:qFormat/>
    <w:uiPriority w:val="0"/>
    <w:rPr>
      <w:szCs w:val="21"/>
    </w:rPr>
  </w:style>
  <w:style w:type="paragraph" w:customStyle="1" w:styleId="23">
    <w:name w:val="正文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24">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025&#24180;&#21439;&#32423;&#37096;&#38376;&#25972;&#20307;&#25903;&#20986;&#32489;&#25928;&#33258;&#35780;\2025&#24180;\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3</Pages>
  <Words>0</Words>
  <Characters>0</Characters>
  <Lines>0</Lines>
  <Paragraphs>0</Paragraphs>
  <TotalTime>0</TotalTime>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2011-09-13T11:13:16Z</dcterms:created>
  <dc:creator>Tian</dc:creator>
  <cp:lastModifiedBy>LENOVO-PC</cp:lastModifiedBy>
  <cp:lastPrinted>2019-07-01T00:12:45Z</cp:lastPrinted>
  <dcterms:modified xsi:type="dcterms:W3CDTF">2026-05-17T03:00:30Z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149E0CEC4BD345389491D914816900F4</vt:lpwstr>
  </property>
</Properties>
</file>