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val="0"/>
        <w:autoSpaceDE w:val="0"/>
        <w:autoSpaceDN w:val="0"/>
        <w:rPr>
          <w:rFonts w:hint="eastAsia" w:ascii="黑体" w:hAnsi="黑体" w:eastAsia="黑体"/>
          <w:sz w:val="32"/>
        </w:rPr>
      </w:pPr>
      <w:r>
        <w:rPr>
          <w:rFonts w:hint="eastAsia" w:ascii="黑体" w:hAnsi="黑体" w:eastAsia="黑体"/>
          <w:sz w:val="32"/>
        </w:rPr>
        <w:t>附件3</w:t>
      </w:r>
    </w:p>
    <w:p>
      <w:pPr>
        <w:pStyle w:val="4"/>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pPr>
        <w:pStyle w:val="4"/>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pPr>
        <w:pStyle w:val="4"/>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pPr>
        <w:pStyle w:val="4"/>
        <w:widowControl w:val="0"/>
        <w:autoSpaceDE w:val="0"/>
        <w:autoSpaceDN w:val="0"/>
        <w:ind w:left="0" w:leftChars="0" w:right="0" w:rightChars="0" w:firstLine="0" w:firstLineChars="0"/>
        <w:jc w:val="center"/>
        <w:rPr>
          <w:rFonts w:hint="eastAsia" w:ascii="仿宋_GB2312" w:hAnsi="仿宋_GB2312" w:eastAsia="仿宋_GB2312" w:cs="仿宋_GB2312"/>
          <w:sz w:val="44"/>
          <w:szCs w:val="44"/>
          <w:lang w:val="en-US" w:eastAsia="zh-CN"/>
        </w:rPr>
      </w:pPr>
      <w:r>
        <w:rPr>
          <w:rFonts w:hint="eastAsia" w:ascii="FangSong.GB2312" w:hAnsi="FangSong.GB2312" w:eastAsia="FangSong.GB2312"/>
          <w:b/>
          <w:bCs/>
          <w:sz w:val="52"/>
          <w:lang w:eastAsia="zh-CN"/>
        </w:rPr>
        <w:t>县级部门整体支出绩效自评报告</w:t>
      </w:r>
      <w:r>
        <w:rPr>
          <w:rFonts w:hint="eastAsia" w:ascii="仿宋_GB2312" w:hAnsi="仿宋_GB2312" w:eastAsia="仿宋_GB2312" w:cs="仿宋_GB2312"/>
          <w:sz w:val="44"/>
          <w:szCs w:val="44"/>
          <w:lang w:eastAsia="zh-CN"/>
        </w:rPr>
        <w:t>（</w:t>
      </w:r>
      <w:r>
        <w:rPr>
          <w:rFonts w:hint="eastAsia" w:ascii="仿宋_GB2312" w:hAnsi="仿宋_GB2312" w:eastAsia="仿宋_GB2312" w:cs="仿宋_GB2312"/>
          <w:sz w:val="44"/>
          <w:szCs w:val="44"/>
          <w:lang w:val="en-US" w:eastAsia="zh-CN"/>
        </w:rPr>
        <w:t>2025年度）</w:t>
      </w:r>
    </w:p>
    <w:p>
      <w:pPr>
        <w:pStyle w:val="4"/>
        <w:widowControl w:val="0"/>
        <w:autoSpaceDE w:val="0"/>
        <w:autoSpaceDN w:val="0"/>
        <w:ind w:left="0" w:leftChars="0" w:right="0" w:rightChars="0" w:firstLine="0" w:firstLineChars="0"/>
        <w:jc w:val="both"/>
        <w:rPr>
          <w:rFonts w:hint="eastAsia" w:ascii="宋体" w:hAnsi="宋体" w:eastAsia="宋体"/>
          <w:sz w:val="36"/>
        </w:rPr>
      </w:pPr>
    </w:p>
    <w:p>
      <w:pPr>
        <w:pStyle w:val="4"/>
        <w:widowControl w:val="0"/>
        <w:autoSpaceDE w:val="0"/>
        <w:autoSpaceDN w:val="0"/>
        <w:ind w:left="0" w:leftChars="0" w:right="0" w:rightChars="0" w:firstLine="0" w:firstLineChars="0"/>
        <w:jc w:val="center"/>
        <w:rPr>
          <w:rFonts w:hint="eastAsia" w:ascii="宋体" w:hAnsi="宋体" w:eastAsia="宋体"/>
          <w:sz w:val="36"/>
        </w:rPr>
      </w:pPr>
    </w:p>
    <w:p>
      <w:pPr>
        <w:pStyle w:val="4"/>
        <w:widowControl w:val="0"/>
        <w:autoSpaceDE w:val="0"/>
        <w:autoSpaceDN w:val="0"/>
        <w:ind w:left="0" w:leftChars="0" w:right="0" w:rightChars="0" w:firstLine="0" w:firstLineChars="0"/>
        <w:jc w:val="center"/>
        <w:rPr>
          <w:rFonts w:hint="eastAsia" w:ascii="宋体" w:hAnsi="宋体" w:eastAsia="宋体"/>
          <w:sz w:val="36"/>
        </w:rPr>
      </w:pPr>
    </w:p>
    <w:p>
      <w:pPr>
        <w:pStyle w:val="4"/>
        <w:widowControl w:val="0"/>
        <w:autoSpaceDE w:val="0"/>
        <w:autoSpaceDN w:val="0"/>
        <w:ind w:left="0" w:leftChars="0" w:right="0" w:rightChars="0" w:firstLine="0" w:firstLineChars="0"/>
        <w:jc w:val="center"/>
        <w:rPr>
          <w:rFonts w:hint="eastAsia" w:ascii="宋体" w:hAnsi="宋体" w:eastAsia="宋体"/>
          <w:sz w:val="36"/>
        </w:rPr>
      </w:pPr>
    </w:p>
    <w:p>
      <w:pPr>
        <w:pStyle w:val="4"/>
        <w:widowControl w:val="0"/>
        <w:autoSpaceDE w:val="0"/>
        <w:autoSpaceDN w:val="0"/>
        <w:ind w:left="0" w:leftChars="0" w:right="0" w:rightChars="0" w:firstLine="0" w:firstLineChars="0"/>
        <w:jc w:val="center"/>
        <w:rPr>
          <w:rFonts w:hint="eastAsia" w:ascii="宋体" w:hAnsi="宋体" w:eastAsia="宋体"/>
          <w:sz w:val="36"/>
        </w:rPr>
      </w:pPr>
    </w:p>
    <w:p>
      <w:pPr>
        <w:pStyle w:val="4"/>
        <w:widowControl w:val="0"/>
        <w:autoSpaceDE w:val="0"/>
        <w:autoSpaceDN w:val="0"/>
        <w:ind w:left="0" w:leftChars="0" w:right="0" w:rightChars="0" w:firstLine="0" w:firstLineChars="0"/>
        <w:jc w:val="left"/>
        <w:rPr>
          <w:rFonts w:hint="eastAsia" w:ascii="宋体" w:hAnsi="宋体" w:eastAsia="宋体"/>
          <w:sz w:val="36"/>
        </w:rPr>
      </w:pPr>
      <w:r>
        <w:rPr>
          <w:rFonts w:hint="eastAsia" w:ascii="宋体" w:hAnsi="宋体"/>
          <w:sz w:val="36"/>
          <w:lang w:val="en-US" w:eastAsia="zh-CN"/>
        </w:rPr>
        <w:t xml:space="preserve">         </w:t>
      </w:r>
      <w:r>
        <w:rPr>
          <w:rFonts w:hint="eastAsia" w:ascii="宋体" w:hAnsi="宋体" w:eastAsia="宋体"/>
          <w:sz w:val="36"/>
        </w:rPr>
        <w:t>部门名称：</w:t>
      </w:r>
      <w:r>
        <w:rPr>
          <w:rFonts w:hint="eastAsia" w:ascii="宋体" w:hAnsi="宋体"/>
          <w:sz w:val="36"/>
          <w:lang w:val="en-US" w:eastAsia="zh-CN"/>
        </w:rPr>
        <w:t>始兴县总工会</w:t>
      </w:r>
    </w:p>
    <w:p>
      <w:pPr>
        <w:pStyle w:val="4"/>
        <w:widowControl w:val="0"/>
        <w:autoSpaceDE w:val="0"/>
        <w:autoSpaceDN w:val="0"/>
        <w:ind w:left="0" w:leftChars="0" w:right="0" w:rightChars="0" w:firstLine="0" w:firstLineChars="0"/>
        <w:jc w:val="left"/>
        <w:rPr>
          <w:rFonts w:hint="eastAsia" w:ascii="宋体" w:hAnsi="宋体"/>
          <w:sz w:val="36"/>
          <w:lang w:val="en-US" w:eastAsia="zh-CN"/>
        </w:rPr>
      </w:pPr>
      <w:r>
        <w:rPr>
          <w:rFonts w:hint="eastAsia" w:ascii="宋体" w:hAnsi="宋体"/>
          <w:sz w:val="36"/>
          <w:lang w:val="en-US" w:eastAsia="zh-CN"/>
        </w:rPr>
        <w:t xml:space="preserve">         </w:t>
      </w:r>
    </w:p>
    <w:p>
      <w:pPr>
        <w:pStyle w:val="4"/>
        <w:widowControl w:val="0"/>
        <w:autoSpaceDE w:val="0"/>
        <w:autoSpaceDN w:val="0"/>
        <w:ind w:left="0" w:leftChars="0" w:right="0" w:rightChars="0" w:firstLine="0" w:firstLineChars="0"/>
        <w:jc w:val="left"/>
        <w:rPr>
          <w:rFonts w:hint="eastAsia" w:ascii="宋体" w:hAnsi="宋体" w:eastAsia="宋体"/>
          <w:sz w:val="36"/>
        </w:rPr>
      </w:pPr>
      <w:r>
        <w:rPr>
          <w:rFonts w:hint="eastAsia" w:ascii="宋体" w:hAnsi="宋体"/>
          <w:sz w:val="36"/>
          <w:lang w:val="en-US" w:eastAsia="zh-CN"/>
        </w:rPr>
        <w:t xml:space="preserve">         </w:t>
      </w:r>
      <w:r>
        <w:rPr>
          <w:rFonts w:hint="eastAsia" w:ascii="宋体" w:hAnsi="宋体" w:eastAsia="宋体"/>
          <w:sz w:val="36"/>
        </w:rPr>
        <w:t>填</w:t>
      </w:r>
      <w:r>
        <w:rPr>
          <w:rFonts w:hint="eastAsia" w:ascii="宋体" w:hAnsi="宋体"/>
          <w:sz w:val="36"/>
          <w:lang w:val="en-US" w:eastAsia="zh-CN"/>
        </w:rPr>
        <w:t xml:space="preserve"> </w:t>
      </w:r>
      <w:r>
        <w:rPr>
          <w:rFonts w:hint="eastAsia" w:ascii="宋体" w:hAnsi="宋体" w:eastAsia="宋体"/>
          <w:sz w:val="36"/>
        </w:rPr>
        <w:t>报</w:t>
      </w:r>
      <w:r>
        <w:rPr>
          <w:rFonts w:hint="eastAsia" w:ascii="宋体" w:hAnsi="宋体"/>
          <w:sz w:val="36"/>
          <w:lang w:val="en-US" w:eastAsia="zh-CN"/>
        </w:rPr>
        <w:t xml:space="preserve"> </w:t>
      </w:r>
      <w:r>
        <w:rPr>
          <w:rFonts w:hint="eastAsia" w:ascii="宋体" w:hAnsi="宋体" w:eastAsia="宋体"/>
          <w:sz w:val="36"/>
        </w:rPr>
        <w:t>人：</w:t>
      </w:r>
      <w:r>
        <w:rPr>
          <w:rFonts w:hint="eastAsia" w:ascii="宋体" w:hAnsi="宋体"/>
          <w:sz w:val="36"/>
          <w:lang w:val="en-US" w:eastAsia="zh-CN"/>
        </w:rPr>
        <w:t>黄秀银</w:t>
      </w:r>
    </w:p>
    <w:p>
      <w:pPr>
        <w:pStyle w:val="4"/>
        <w:widowControl w:val="0"/>
        <w:autoSpaceDE w:val="0"/>
        <w:autoSpaceDN w:val="0"/>
        <w:ind w:left="0" w:leftChars="0" w:right="0" w:rightChars="0" w:firstLine="0" w:firstLineChars="0"/>
        <w:jc w:val="left"/>
        <w:rPr>
          <w:rFonts w:hint="eastAsia" w:ascii="宋体" w:hAnsi="宋体"/>
          <w:sz w:val="36"/>
          <w:lang w:val="en-US" w:eastAsia="zh-CN"/>
        </w:rPr>
      </w:pPr>
      <w:r>
        <w:rPr>
          <w:rFonts w:hint="eastAsia" w:ascii="宋体" w:hAnsi="宋体"/>
          <w:sz w:val="36"/>
          <w:lang w:val="en-US" w:eastAsia="zh-CN"/>
        </w:rPr>
        <w:t xml:space="preserve">         </w:t>
      </w:r>
    </w:p>
    <w:p>
      <w:pPr>
        <w:pStyle w:val="4"/>
        <w:widowControl w:val="0"/>
        <w:autoSpaceDE w:val="0"/>
        <w:autoSpaceDN w:val="0"/>
        <w:ind w:left="0" w:leftChars="0" w:right="0" w:rightChars="0" w:firstLine="0" w:firstLineChars="0"/>
        <w:jc w:val="left"/>
        <w:rPr>
          <w:rFonts w:hint="eastAsia" w:ascii="宋体" w:hAnsi="宋体" w:eastAsia="宋体"/>
          <w:sz w:val="36"/>
        </w:rPr>
      </w:pPr>
      <w:r>
        <w:rPr>
          <w:rFonts w:hint="eastAsia" w:ascii="宋体" w:hAnsi="宋体"/>
          <w:sz w:val="36"/>
          <w:lang w:val="en-US" w:eastAsia="zh-CN"/>
        </w:rPr>
        <w:t xml:space="preserve">         </w:t>
      </w:r>
      <w:r>
        <w:rPr>
          <w:rFonts w:hint="eastAsia" w:ascii="宋体" w:hAnsi="宋体" w:eastAsia="宋体"/>
          <w:sz w:val="36"/>
        </w:rPr>
        <w:t>联系电话：</w:t>
      </w:r>
      <w:r>
        <w:rPr>
          <w:rFonts w:hint="eastAsia" w:ascii="宋体" w:hAnsi="宋体"/>
          <w:sz w:val="36"/>
          <w:lang w:val="en-US" w:eastAsia="zh-CN"/>
        </w:rPr>
        <w:t>0751-3330092</w:t>
      </w:r>
    </w:p>
    <w:p>
      <w:pPr>
        <w:pStyle w:val="4"/>
        <w:widowControl w:val="0"/>
        <w:autoSpaceDE w:val="0"/>
        <w:autoSpaceDN w:val="0"/>
        <w:ind w:left="0" w:leftChars="0" w:right="0" w:rightChars="0" w:firstLine="0" w:firstLineChars="0"/>
        <w:jc w:val="left"/>
        <w:rPr>
          <w:rFonts w:hint="eastAsia" w:ascii="宋体" w:hAnsi="宋体" w:eastAsia="宋体"/>
          <w:sz w:val="36"/>
          <w:lang w:val="en-US" w:eastAsia="zh-CN"/>
        </w:rPr>
      </w:pPr>
      <w:r>
        <w:rPr>
          <w:rFonts w:hint="eastAsia" w:ascii="宋体" w:hAnsi="宋体"/>
          <w:sz w:val="36"/>
          <w:lang w:val="en-US" w:eastAsia="zh-CN"/>
        </w:rPr>
        <w:t xml:space="preserve"> </w:t>
      </w:r>
    </w:p>
    <w:p>
      <w:pPr>
        <w:ind w:left="0" w:leftChars="0" w:right="0" w:rightChars="0" w:firstLine="0" w:firstLineChars="0"/>
        <w:jc w:val="left"/>
        <w:rPr>
          <w:rFonts w:hint="eastAsia" w:ascii="宋体" w:hAnsi="宋体" w:eastAsia="宋体"/>
          <w:sz w:val="36"/>
        </w:rPr>
      </w:pPr>
      <w:r>
        <w:rPr>
          <w:rFonts w:hint="eastAsia" w:ascii="宋体" w:hAnsi="宋体"/>
          <w:sz w:val="36"/>
          <w:lang w:val="en-US" w:eastAsia="zh-CN"/>
        </w:rPr>
        <w:t xml:space="preserve">         </w:t>
      </w:r>
      <w:r>
        <w:rPr>
          <w:rFonts w:hint="eastAsia" w:ascii="宋体" w:hAnsi="宋体" w:eastAsia="宋体"/>
          <w:sz w:val="36"/>
        </w:rPr>
        <w:t>填报日期：</w:t>
      </w:r>
      <w:r>
        <w:rPr>
          <w:rFonts w:hint="eastAsia" w:ascii="宋体" w:hAnsi="宋体"/>
          <w:sz w:val="36"/>
          <w:lang w:val="en-US" w:eastAsia="zh-CN"/>
        </w:rPr>
        <w:t>2026年5月13日</w:t>
      </w:r>
    </w:p>
    <w:p>
      <w:pPr>
        <w:ind w:left="0" w:leftChars="0" w:right="0" w:rightChars="0" w:firstLine="0" w:firstLineChars="0"/>
        <w:jc w:val="left"/>
        <w:rPr>
          <w:rFonts w:hint="eastAsia" w:ascii="黑体" w:hAnsi="黑体" w:eastAsia="黑体"/>
          <w:sz w:val="30"/>
          <w:szCs w:val="30"/>
        </w:rPr>
      </w:pPr>
      <w:r>
        <w:rPr>
          <w:rFonts w:hint="eastAsia" w:ascii="宋体" w:hAnsi="宋体" w:eastAsia="宋体"/>
          <w:sz w:val="36"/>
        </w:rPr>
        <w:br w:type="page"/>
      </w:r>
      <w:r>
        <w:rPr>
          <w:rFonts w:hint="eastAsia" w:ascii="宋体" w:hAnsi="宋体"/>
          <w:sz w:val="30"/>
          <w:szCs w:val="30"/>
          <w:lang w:val="en-US" w:eastAsia="zh-CN"/>
        </w:rPr>
        <w:t xml:space="preserve">    </w:t>
      </w:r>
      <w:r>
        <w:rPr>
          <w:rFonts w:hint="eastAsia" w:ascii="黑体" w:hAnsi="黑体" w:eastAsia="黑体"/>
          <w:sz w:val="30"/>
          <w:szCs w:val="30"/>
        </w:rPr>
        <w:t>一、部门基本情况</w:t>
      </w:r>
    </w:p>
    <w:p>
      <w:pPr>
        <w:numPr>
          <w:ilvl w:val="0"/>
          <w:numId w:val="1"/>
        </w:numPr>
        <w:ind w:left="-10" w:leftChars="0" w:right="0" w:rightChars="0" w:firstLine="640" w:firstLineChars="0"/>
        <w:jc w:val="left"/>
        <w:rPr>
          <w:rFonts w:hint="eastAsia" w:ascii="仿宋_GB2312" w:hAnsi="仿宋_GB2312" w:eastAsia="仿宋_GB2312"/>
          <w:b/>
          <w:bCs/>
          <w:sz w:val="32"/>
        </w:rPr>
      </w:pPr>
      <w:r>
        <w:rPr>
          <w:rFonts w:hint="eastAsia" w:ascii="仿宋_GB2312" w:hAnsi="仿宋_GB2312" w:eastAsia="仿宋_GB2312"/>
          <w:b/>
          <w:bCs/>
          <w:sz w:val="32"/>
        </w:rPr>
        <w:t>部门职能。</w:t>
      </w:r>
    </w:p>
    <w:p>
      <w:pPr>
        <w:numPr>
          <w:ilvl w:val="0"/>
          <w:numId w:val="0"/>
        </w:numPr>
        <w:ind w:leftChars="200" w:right="0" w:rightChars="0"/>
        <w:jc w:val="left"/>
        <w:rPr>
          <w:rFonts w:hint="eastAsia" w:ascii="仿宋_GB2312" w:hAnsi="仿宋_GB2312" w:eastAsia="仿宋_GB2312"/>
          <w:sz w:val="32"/>
        </w:rPr>
      </w:pPr>
      <w:r>
        <w:rPr>
          <w:rFonts w:hint="eastAsia" w:ascii="仿宋_GB2312" w:eastAsia="仿宋_GB2312"/>
          <w:sz w:val="32"/>
          <w:szCs w:val="32"/>
          <w:lang w:val="en-US" w:eastAsia="zh-CN"/>
        </w:rPr>
        <w:t xml:space="preserve">    </w:t>
      </w:r>
      <w:r>
        <w:rPr>
          <w:rFonts w:hint="eastAsia" w:ascii="仿宋_GB2312" w:hAnsi="仿宋_GB2312" w:eastAsia="仿宋_GB2312"/>
          <w:sz w:val="32"/>
          <w:lang w:val="en-US" w:eastAsia="zh-CN"/>
        </w:rPr>
        <w:t>始兴</w:t>
      </w:r>
      <w:r>
        <w:rPr>
          <w:rFonts w:hint="eastAsia" w:ascii="仿宋_GB2312" w:hAnsi="仿宋_GB2312" w:eastAsia="仿宋_GB2312"/>
          <w:sz w:val="32"/>
        </w:rPr>
        <w:t>县总工会是中国共产党领导的职工自愿结合的工人阶级群众组织，是党联系职工群众的桥梁和纽带。工会的社会职能是维护职工合法权益和民主权利；动员和组织职工积极参加建设和改革，完成经济和社会发展任务；教育职工不断提高思想道德和科学文化素质。</w:t>
      </w:r>
    </w:p>
    <w:p>
      <w:pPr>
        <w:numPr>
          <w:ilvl w:val="0"/>
          <w:numId w:val="0"/>
        </w:numPr>
        <w:ind w:leftChars="200" w:right="0" w:rightChars="0" w:firstLine="640" w:firstLineChars="200"/>
        <w:jc w:val="left"/>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中共始兴县委于1950年初成立工人运动领导小组，负责领导全县工人运动。1950年下半年，成立始兴县工会联合会筹备委员会，1953年正式成立始兴县总工会。1958年12月，南雄、始兴并县，始兴县总工会撤销。1960年10月，恢复始兴县建制，同时恢复始兴县总工会。1967年3月后，因“文化大革命”，不能正常行使工作职能，1968年3月县总工会被撤销，由县人民武装部实行军事管制。1973年恢复县总工会。</w:t>
      </w:r>
    </w:p>
    <w:p>
      <w:pPr>
        <w:numPr>
          <w:ilvl w:val="0"/>
          <w:numId w:val="0"/>
        </w:numPr>
        <w:ind w:leftChars="200" w:right="0" w:rightChars="0" w:firstLine="640"/>
        <w:jc w:val="left"/>
        <w:rPr>
          <w:rFonts w:hint="eastAsia" w:ascii="仿宋_GB2312" w:hAnsi="仿宋_GB2312" w:eastAsia="仿宋_GB2312"/>
          <w:sz w:val="32"/>
        </w:rPr>
      </w:pPr>
      <w:r>
        <w:rPr>
          <w:rFonts w:hint="eastAsia" w:ascii="仿宋_GB2312" w:eastAsia="仿宋_GB2312"/>
          <w:sz w:val="32"/>
          <w:szCs w:val="32"/>
          <w:lang w:val="en-US" w:eastAsia="zh-CN"/>
        </w:rPr>
        <w:t>始兴县总工会本级内设办公室一个部门，办公室下设2个工作小组，分别为行政后勤组、经济财务组。下属机构:始兴县工人文化宫下设2个工作小组，分别是运维服务组、职工服务中心。县总工会机关行政编制4名，其中主席1名（由人大常委会副主任兼任），副主席2名，科（办）员2名，下属事业公益一类始兴县工人文化宫事业人员2名。</w:t>
      </w:r>
    </w:p>
    <w:p>
      <w:pPr>
        <w:numPr>
          <w:ilvl w:val="0"/>
          <w:numId w:val="1"/>
        </w:numPr>
        <w:ind w:left="-10" w:leftChars="0" w:right="0" w:rightChars="0" w:firstLine="640" w:firstLineChars="0"/>
        <w:jc w:val="left"/>
        <w:rPr>
          <w:rFonts w:hint="eastAsia" w:ascii="仿宋_GB2312" w:hAnsi="仿宋_GB2312" w:eastAsia="仿宋_GB2312"/>
          <w:b/>
          <w:bCs/>
          <w:sz w:val="32"/>
        </w:rPr>
      </w:pPr>
      <w:r>
        <w:rPr>
          <w:rFonts w:hint="eastAsia" w:ascii="仿宋_GB2312" w:hAnsi="仿宋_GB2312" w:eastAsia="仿宋_GB2312"/>
          <w:b/>
          <w:bCs/>
          <w:sz w:val="32"/>
        </w:rPr>
        <w:t>年度总体工作和重点工作任务。</w:t>
      </w:r>
    </w:p>
    <w:p>
      <w:pPr>
        <w:numPr>
          <w:ilvl w:val="0"/>
          <w:numId w:val="0"/>
        </w:numPr>
        <w:ind w:leftChars="200" w:right="0" w:rightChars="0" w:firstLine="64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2025年，始兴县总工会在县委和市总工会的坚强领导下，坚持以习近平新时代中国特色社会主义思想为指导，深入学习贯彻党的二十大和二十届三中、四中全会精神，牢牢把握工人运动时代主题，聚焦保持和增强政治性、先进性、群众性，围绕县委、县政府中心工作及“十四五”规划目标任务，守正创新、担当作为，切实履行引领凝聚、组织动员、联系服务职工的职责，团结带领全县广大职工为始兴建设绿色经济高质量发展示范县贡献工会力量，各项工作取得新进展、新成效。</w:t>
      </w:r>
    </w:p>
    <w:p>
      <w:pPr>
        <w:numPr>
          <w:ilvl w:val="0"/>
          <w:numId w:val="0"/>
        </w:numPr>
        <w:ind w:leftChars="200" w:right="0" w:rightChars="0" w:firstLine="64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严格执行《县级工会经费收支管理办法》和《广东省基层工会经费收支管理实施细则(试行)》的有关规定，保障职工的正常福利，切实加强帮扶专项资金管理和审计监督力度，确保专款专用。</w:t>
      </w:r>
    </w:p>
    <w:p>
      <w:pPr>
        <w:numPr>
          <w:ilvl w:val="0"/>
          <w:numId w:val="1"/>
        </w:numPr>
        <w:ind w:left="-10" w:leftChars="0" w:right="0" w:rightChars="0" w:firstLine="640" w:firstLineChars="0"/>
        <w:jc w:val="left"/>
        <w:rPr>
          <w:rFonts w:hint="eastAsia" w:ascii="仿宋_GB2312" w:hAnsi="仿宋_GB2312" w:eastAsia="仿宋_GB2312"/>
          <w:b/>
          <w:bCs/>
          <w:sz w:val="32"/>
        </w:rPr>
      </w:pPr>
      <w:r>
        <w:rPr>
          <w:rFonts w:hint="eastAsia" w:ascii="仿宋_GB2312" w:hAnsi="仿宋_GB2312" w:eastAsia="仿宋_GB2312"/>
          <w:b/>
          <w:bCs/>
          <w:sz w:val="32"/>
        </w:rPr>
        <w:t>部门整体支出绩效目标。</w:t>
      </w:r>
    </w:p>
    <w:p>
      <w:pPr>
        <w:keepNext w:val="0"/>
        <w:keepLines w:val="0"/>
        <w:widowControl/>
        <w:suppressLineNumbers w:val="0"/>
        <w:jc w:val="left"/>
        <w:rPr>
          <w:rFonts w:hint="eastAsia" w:ascii="仿宋_GB2312" w:eastAsia="仿宋_GB2312"/>
          <w:sz w:val="32"/>
          <w:szCs w:val="32"/>
          <w:lang w:val="en-US" w:eastAsia="zh-CN"/>
        </w:rPr>
      </w:pPr>
      <w:r>
        <w:rPr>
          <w:rFonts w:hint="eastAsia" w:ascii="仿宋_GB2312" w:hAnsi="仿宋_GB2312" w:eastAsia="仿宋_GB2312"/>
          <w:sz w:val="32"/>
          <w:lang w:val="en-US" w:eastAsia="zh-CN"/>
        </w:rPr>
        <w:t xml:space="preserve">  </w:t>
      </w:r>
      <w:r>
        <w:rPr>
          <w:rFonts w:hint="eastAsia" w:ascii="仿宋_GB2312" w:eastAsia="仿宋_GB2312"/>
          <w:sz w:val="32"/>
          <w:szCs w:val="32"/>
          <w:lang w:val="en-US" w:eastAsia="zh-CN"/>
        </w:rPr>
        <w:t xml:space="preserve">   坚决打赢困难职工解困脱困攻坚战，抓好2025年春节送温暖慰问对象的困难职工解困脱困工作；保障良好环境的基本支出，重点用于各类设备的维护保养工作，确保设备正常稳定运行，为职工服务阵地的有序使用提供坚实保障；丰富基层工会职工精神文化生活，凝聚职工力量，提高职工能力素质水平，推动工会工作创新。绩效目标与指标与本单位年度工作要点一一对应。</w:t>
      </w:r>
    </w:p>
    <w:p>
      <w:pPr>
        <w:numPr>
          <w:ilvl w:val="0"/>
          <w:numId w:val="1"/>
        </w:numPr>
        <w:ind w:left="-10" w:leftChars="0" w:right="0" w:rightChars="0" w:firstLine="640" w:firstLineChars="0"/>
        <w:jc w:val="left"/>
        <w:rPr>
          <w:rFonts w:hint="eastAsia" w:ascii="仿宋_GB2312" w:hAnsi="仿宋_GB2312" w:eastAsia="仿宋_GB2312"/>
          <w:b/>
          <w:bCs/>
          <w:sz w:val="32"/>
        </w:rPr>
      </w:pPr>
      <w:r>
        <w:rPr>
          <w:rFonts w:hint="eastAsia" w:ascii="仿宋_GB2312" w:hAnsi="仿宋_GB2312" w:eastAsia="仿宋_GB2312"/>
          <w:b/>
          <w:bCs/>
          <w:sz w:val="32"/>
        </w:rPr>
        <w:t>部门整体支出情况。</w:t>
      </w:r>
    </w:p>
    <w:p>
      <w:pPr>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 xml:space="preserve">    部门预算收入主要为财政收入（工会经费收入为独立收入支出体系，不在此评价）。</w:t>
      </w:r>
      <w:bookmarkStart w:id="0" w:name="PO_part3A1Year1"/>
      <w:r>
        <w:rPr>
          <w:rFonts w:hint="eastAsia" w:ascii="仿宋_GB2312" w:hAnsi="仿宋_GB2312" w:eastAsia="仿宋_GB2312"/>
          <w:sz w:val="32"/>
          <w:lang w:val="en-US" w:eastAsia="zh-CN"/>
        </w:rPr>
        <w:t xml:space="preserve"> 2025 </w:t>
      </w:r>
      <w:bookmarkEnd w:id="0"/>
      <w:r>
        <w:rPr>
          <w:rFonts w:hint="eastAsia" w:ascii="仿宋_GB2312" w:hAnsi="仿宋_GB2312" w:eastAsia="仿宋_GB2312"/>
          <w:sz w:val="32"/>
          <w:lang w:val="en-US" w:eastAsia="zh-CN"/>
        </w:rPr>
        <w:t>年本部门收入预算</w:t>
      </w:r>
      <w:bookmarkStart w:id="1" w:name="PO_part3A1Amount1"/>
      <w:r>
        <w:rPr>
          <w:rFonts w:hint="eastAsia" w:ascii="仿宋_GB2312" w:hAnsi="仿宋_GB2312" w:eastAsia="仿宋_GB2312"/>
          <w:sz w:val="32"/>
          <w:lang w:val="en-US" w:eastAsia="zh-CN"/>
        </w:rPr>
        <w:t>167.31</w:t>
      </w:r>
      <w:bookmarkEnd w:id="1"/>
      <w:r>
        <w:rPr>
          <w:rFonts w:hint="eastAsia" w:ascii="仿宋_GB2312" w:hAnsi="仿宋_GB2312" w:eastAsia="仿宋_GB2312"/>
          <w:sz w:val="32"/>
          <w:lang w:val="en-US" w:eastAsia="zh-CN"/>
        </w:rPr>
        <w:t>万元，比上年</w:t>
      </w:r>
      <w:bookmarkStart w:id="2" w:name="PO_part3A1IncAmount1"/>
      <w:r>
        <w:rPr>
          <w:rFonts w:hint="eastAsia" w:ascii="仿宋_GB2312" w:hAnsi="仿宋_GB2312" w:eastAsia="仿宋_GB2312"/>
          <w:sz w:val="32"/>
          <w:lang w:val="en-US" w:eastAsia="zh-CN"/>
        </w:rPr>
        <w:t xml:space="preserve">增加15.75 </w:t>
      </w:r>
      <w:bookmarkEnd w:id="2"/>
      <w:r>
        <w:rPr>
          <w:rFonts w:hint="eastAsia" w:ascii="仿宋_GB2312" w:hAnsi="仿宋_GB2312" w:eastAsia="仿宋_GB2312"/>
          <w:sz w:val="32"/>
          <w:lang w:val="en-US" w:eastAsia="zh-CN"/>
        </w:rPr>
        <w:t>万元，</w:t>
      </w:r>
      <w:bookmarkStart w:id="3" w:name="PO_part3A1IncPercent1"/>
      <w:r>
        <w:rPr>
          <w:rFonts w:hint="eastAsia" w:ascii="仿宋_GB2312" w:hAnsi="仿宋_GB2312" w:eastAsia="仿宋_GB2312"/>
          <w:sz w:val="32"/>
          <w:lang w:val="en-US" w:eastAsia="zh-CN"/>
        </w:rPr>
        <w:t xml:space="preserve">增长10.39 </w:t>
      </w:r>
      <w:bookmarkEnd w:id="3"/>
      <w:r>
        <w:rPr>
          <w:rFonts w:hint="eastAsia" w:ascii="仿宋_GB2312" w:hAnsi="仿宋_GB2312" w:eastAsia="仿宋_GB2312"/>
          <w:sz w:val="32"/>
          <w:lang w:val="en-US" w:eastAsia="zh-CN"/>
        </w:rPr>
        <w:t>%，主要原因是2025年度实人数比2024年增加一名</w:t>
      </w:r>
      <w:bookmarkStart w:id="4" w:name="PO_part3A1IncReason1"/>
      <w:r>
        <w:rPr>
          <w:rFonts w:hint="eastAsia" w:ascii="仿宋_GB2312" w:hAnsi="仿宋_GB2312" w:eastAsia="仿宋_GB2312"/>
          <w:sz w:val="32"/>
          <w:lang w:val="en-US" w:eastAsia="zh-CN"/>
        </w:rPr>
        <w:t>公益一类事业人员及</w:t>
      </w:r>
      <w:bookmarkEnd w:id="4"/>
      <w:r>
        <w:rPr>
          <w:rFonts w:hint="eastAsia" w:ascii="仿宋_GB2312" w:hAnsi="仿宋_GB2312" w:eastAsia="仿宋_GB2312"/>
          <w:sz w:val="32"/>
          <w:lang w:val="en-US" w:eastAsia="zh-CN"/>
        </w:rPr>
        <w:t>10名行政退休人员慰问金增加；支出预算</w:t>
      </w:r>
      <w:bookmarkStart w:id="5" w:name="PO_part3A1Amount2"/>
      <w:r>
        <w:rPr>
          <w:rFonts w:hint="eastAsia" w:ascii="仿宋_GB2312" w:hAnsi="仿宋_GB2312" w:eastAsia="仿宋_GB2312"/>
          <w:sz w:val="32"/>
          <w:lang w:val="en-US" w:eastAsia="zh-CN"/>
        </w:rPr>
        <w:t xml:space="preserve">167.31 </w:t>
      </w:r>
      <w:bookmarkEnd w:id="5"/>
      <w:r>
        <w:rPr>
          <w:rFonts w:hint="eastAsia" w:ascii="仿宋_GB2312" w:hAnsi="仿宋_GB2312" w:eastAsia="仿宋_GB2312"/>
          <w:sz w:val="32"/>
          <w:lang w:val="en-US" w:eastAsia="zh-CN"/>
        </w:rPr>
        <w:t>万元，比上年增加15.75万元，增长10.39 %，</w:t>
      </w:r>
      <w:bookmarkStart w:id="6" w:name="PO_part3A1IncReason2"/>
      <w:r>
        <w:rPr>
          <w:rFonts w:hint="eastAsia" w:ascii="仿宋_GB2312" w:hAnsi="仿宋_GB2312" w:eastAsia="仿宋_GB2312"/>
          <w:sz w:val="32"/>
          <w:lang w:val="en-US" w:eastAsia="zh-CN"/>
        </w:rPr>
        <w:t>主要</w:t>
      </w:r>
      <w:bookmarkEnd w:id="6"/>
      <w:r>
        <w:rPr>
          <w:rFonts w:hint="eastAsia" w:ascii="仿宋_GB2312" w:hAnsi="仿宋_GB2312" w:eastAsia="仿宋_GB2312"/>
          <w:sz w:val="32"/>
          <w:lang w:val="en-US" w:eastAsia="zh-CN"/>
        </w:rPr>
        <w:t>主要原因是2025年度实人数比2024年增加一名公益一类事业人员及10名行政退休人员慰问金增加。</w:t>
      </w:r>
    </w:p>
    <w:p>
      <w:pPr>
        <w:numPr>
          <w:ilvl w:val="0"/>
          <w:numId w:val="2"/>
        </w:numPr>
        <w:ind w:left="0" w:leftChars="0" w:right="0" w:rightChars="0" w:firstLine="600" w:firstLineChars="200"/>
        <w:jc w:val="left"/>
        <w:rPr>
          <w:rFonts w:hint="eastAsia" w:ascii="黑体" w:hAnsi="黑体" w:eastAsia="黑体"/>
          <w:sz w:val="30"/>
          <w:szCs w:val="30"/>
        </w:rPr>
      </w:pPr>
      <w:r>
        <w:rPr>
          <w:rFonts w:hint="eastAsia" w:ascii="黑体" w:hAnsi="黑体" w:eastAsia="黑体"/>
          <w:sz w:val="30"/>
          <w:szCs w:val="30"/>
        </w:rPr>
        <w:t>绩效自评情况</w:t>
      </w:r>
    </w:p>
    <w:p>
      <w:pPr>
        <w:numPr>
          <w:numId w:val="0"/>
        </w:numPr>
        <w:ind w:leftChars="200" w:right="0" w:rightChars="0"/>
        <w:jc w:val="left"/>
        <w:rPr>
          <w:rFonts w:hint="eastAsia" w:ascii="仿宋_GB2312" w:hAnsi="仿宋_GB2312" w:eastAsia="仿宋_GB2312" w:cs="仿宋_GB2312"/>
          <w:b/>
          <w:bCs/>
          <w:sz w:val="32"/>
        </w:rPr>
      </w:pPr>
      <w:r>
        <w:rPr>
          <w:rFonts w:hint="eastAsia" w:ascii="仿宋_GB2312" w:hAnsi="仿宋_GB2312" w:eastAsia="仿宋_GB2312" w:cs="仿宋_GB2312"/>
          <w:b/>
          <w:bCs/>
          <w:sz w:val="32"/>
        </w:rPr>
        <w:t>（一）履职效能分析</w:t>
      </w:r>
    </w:p>
    <w:p>
      <w:pPr>
        <w:ind w:firstLine="640" w:firstLineChars="200"/>
        <w:rPr>
          <w:rFonts w:hint="eastAsia" w:ascii="仿宋_GB2312" w:hAnsi="仿宋_GB2312" w:eastAsia="仿宋_GB2312"/>
          <w:sz w:val="32"/>
          <w:lang w:val="en-US" w:eastAsia="zh-CN"/>
        </w:rPr>
      </w:pPr>
      <w:r>
        <w:rPr>
          <w:rFonts w:hint="eastAsia" w:ascii="黑体" w:hAnsi="黑体" w:eastAsia="黑体"/>
          <w:sz w:val="32"/>
          <w:lang w:val="en-US" w:eastAsia="zh-CN"/>
        </w:rPr>
        <w:t>1</w:t>
      </w:r>
      <w:r>
        <w:rPr>
          <w:rFonts w:hint="eastAsia" w:ascii="仿宋_GB2312" w:hAnsi="仿宋_GB2312" w:eastAsia="仿宋_GB2312"/>
          <w:sz w:val="32"/>
          <w:lang w:val="en-US" w:eastAsia="zh-CN"/>
        </w:rPr>
        <w:t>.预算执行</w:t>
      </w:r>
      <w:bookmarkStart w:id="7" w:name="_GoBack"/>
      <w:bookmarkEnd w:id="7"/>
      <w:r>
        <w:rPr>
          <w:rFonts w:hint="eastAsia" w:ascii="仿宋_GB2312" w:hAnsi="仿宋_GB2312" w:eastAsia="仿宋_GB2312"/>
          <w:sz w:val="32"/>
          <w:lang w:val="en-US" w:eastAsia="zh-CN"/>
        </w:rPr>
        <w:t>整体情况</w:t>
      </w:r>
    </w:p>
    <w:p>
      <w:pPr>
        <w:ind w:firstLine="640" w:firstLineChars="200"/>
        <w:jc w:val="distribute"/>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全年财政总支出预算完成率 100.70%，超预算主要为年度预算下达后新增 10 万元春节困难职工慰问专项支出；</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基本支出：预算完成率 94.37%。其中公用经费完成率 98.02%，人员经费完成率 94.02%，主要因年度内机关人员岗位调整，调入人员薪酬福利标准低于调出人员，人员实际支出低于年初预算；</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项目支出：预算完成率 175.31%，超额原因为年中追加 10 万元春节慰问专项项目。</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“三公” 经费：预算完成率 43.43%，本年度公务用车更换新能源车辆，燃油、车辆维保支出大幅节约，有效压减运行成本。</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2.绩效目标产出与效益实现情况</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1）工人文化宫运转保障类支出：足额保障阵地水电、设备维修、人员薪酬，实现职工服务阵地全年稳定开放，场地设施持续升级，面向全县职工提供免费维权咨询、文体活动、技能培训场地，阵地服务品质、多样化供给能力显著提升；</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2）困难职工春节慰问专项支出：专项资金全部用于困难职工、困难企业一线职工走访慰问，有效缓解职工生活压力，切实传递党委政府、工会组织关怀，化解基层民生难题，维护劳动关系和谐与县域社会稳定，社会效益突出；</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（3）人员及公用基本支出：保障工会机关、文化宫工作人员正常履职，顺利完成职工维权、劳模管理、基层工会建设、普惠服务等全部常规业务，各项年度重点工作按期落地。</w:t>
      </w:r>
    </w:p>
    <w:p>
      <w:pPr>
        <w:numPr>
          <w:ilvl w:val="0"/>
          <w:numId w:val="0"/>
        </w:numPr>
        <w:ind w:leftChars="200" w:right="0" w:rightChars="0"/>
        <w:jc w:val="left"/>
        <w:rPr>
          <w:rFonts w:hint="eastAsia" w:ascii="仿宋_GB2312" w:hAnsi="仿宋_GB2312" w:eastAsia="仿宋_GB2312"/>
          <w:b/>
          <w:bCs/>
          <w:sz w:val="32"/>
          <w:lang w:val="en-US" w:eastAsia="zh-CN"/>
        </w:rPr>
      </w:pPr>
      <w:r>
        <w:rPr>
          <w:rFonts w:hint="eastAsia" w:ascii="仿宋_GB2312" w:hAnsi="仿宋_GB2312" w:eastAsia="仿宋_GB2312"/>
          <w:b/>
          <w:bCs/>
          <w:sz w:val="32"/>
          <w:lang w:val="en-US" w:eastAsia="zh-CN"/>
        </w:rPr>
        <w:t>（二）管理效率分析</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预算编制管理：年初结合人员变动、年度活动计划、阵地运维需求科学测算收支，绩效指标与工作任务匹配度较高；但对年中新增慰问类临时专项预判不足，预算动态调整机制仍可优化。</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预算执行管理：资金拨付严格执行分级审批，专款专用，帮扶、慰问类专项资金建立台账管理；人员经费因人员流动存在预算偏差，项目支出因追加专项出现执行率偏高情况。</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采购与资产管理：固定资产定期盘点，公务用车更换新能源车辆实现运行成本节约；中介服务采购按要求通过网上中介服务超市选取第三方审计、评估机构，采购流程合规。</w:t>
      </w:r>
    </w:p>
    <w:p>
      <w:pPr>
        <w:rPr>
          <w:rFonts w:hint="eastAsia" w:ascii="仿宋_GB2312" w:hAnsi="仿宋_GB2312" w:eastAsia="仿宋_GB2312"/>
          <w:sz w:val="32"/>
        </w:rPr>
      </w:pPr>
      <w:r>
        <w:rPr>
          <w:rFonts w:hint="eastAsia" w:ascii="仿宋_GB2312" w:hAnsi="仿宋_GB2312" w:eastAsia="仿宋_GB2312"/>
          <w:sz w:val="32"/>
          <w:lang w:val="en-US" w:eastAsia="zh-CN"/>
        </w:rPr>
        <w:t>绩效管理与信息公开：按财政要求开展绩效监控、年度自评，按时公开部门预决算、“三公” 经费信息；财务内控制度完备，落实会计、出纳岗位分离，工会主席不兼任财务岗位，财务审计监督常态化开展</w:t>
      </w:r>
    </w:p>
    <w:p>
      <w:pPr>
        <w:numPr>
          <w:numId w:val="0"/>
        </w:numPr>
        <w:ind w:leftChars="200" w:right="0" w:rightChars="0" w:firstLine="321" w:firstLineChars="100"/>
        <w:jc w:val="left"/>
        <w:rPr>
          <w:rFonts w:hint="eastAsia" w:ascii="仿宋_GB2312" w:hAnsi="仿宋_GB2312" w:eastAsia="仿宋_GB2312"/>
          <w:b/>
          <w:bCs/>
          <w:sz w:val="32"/>
        </w:rPr>
      </w:pPr>
      <w:r>
        <w:rPr>
          <w:rFonts w:hint="eastAsia" w:ascii="仿宋_GB2312" w:hAnsi="仿宋_GB2312" w:eastAsia="仿宋_GB2312"/>
          <w:b/>
          <w:bCs/>
          <w:sz w:val="32"/>
          <w:lang w:val="en-US" w:eastAsia="zh-CN"/>
        </w:rPr>
        <w:t>（三）</w:t>
      </w:r>
      <w:r>
        <w:rPr>
          <w:rFonts w:hint="eastAsia" w:ascii="仿宋_GB2312" w:hAnsi="仿宋_GB2312" w:eastAsia="仿宋_GB2312"/>
          <w:b/>
          <w:bCs/>
          <w:sz w:val="32"/>
        </w:rPr>
        <w:t>自评结论。</w:t>
      </w:r>
    </w:p>
    <w:p>
      <w:pPr>
        <w:numPr>
          <w:ilvl w:val="0"/>
          <w:numId w:val="0"/>
        </w:numPr>
        <w:ind w:right="0" w:rightChars="0"/>
        <w:jc w:val="both"/>
        <w:rPr>
          <w:rFonts w:hint="eastAsia" w:ascii="仿宋_GB2312" w:hAnsi="仿宋_GB2312" w:eastAsia="仿宋_GB2312" w:cs="仿宋_GB2312"/>
          <w:sz w:val="32"/>
          <w:szCs w:val="32"/>
          <w:lang w:val="en-US" w:eastAsia="zh-CN"/>
        </w:rPr>
      </w:pPr>
      <w:r>
        <w:rPr>
          <w:rFonts w:hint="eastAsia" w:ascii="仿宋_GB2312" w:eastAsia="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2025 年度县总工会各项财政支出紧密贴合工会主责主业与县域发展规划，年度绩效目标基本全部落地；单位财务、资产、采购、绩效内控体系持续完善，资金审批、监督流程规范；财政资金、工会经费资源配置合理，阵地服务、困难帮扶、职工引领等履职成效明显，整体预算管理水平、资金使用效益稳步提升。</w:t>
      </w:r>
    </w:p>
    <w:p>
      <w:pPr>
        <w:ind w:left="0" w:leftChars="0" w:right="0" w:rightChars="0" w:firstLine="640" w:firstLineChars="200"/>
        <w:jc w:val="left"/>
        <w:rPr>
          <w:rFonts w:hint="eastAsia" w:ascii="黑体" w:hAnsi="黑体" w:eastAsia="黑体"/>
          <w:sz w:val="30"/>
          <w:szCs w:val="30"/>
        </w:rPr>
      </w:pPr>
      <w:r>
        <w:rPr>
          <w:rFonts w:hint="eastAsia" w:ascii="黑体" w:hAnsi="黑体" w:eastAsia="黑体"/>
          <w:sz w:val="32"/>
          <w:lang w:eastAsia="zh-CN"/>
        </w:rPr>
        <w:t>三、</w:t>
      </w:r>
      <w:r>
        <w:rPr>
          <w:rFonts w:hint="eastAsia" w:ascii="黑体" w:hAnsi="黑体" w:eastAsia="黑体"/>
          <w:sz w:val="30"/>
          <w:szCs w:val="30"/>
        </w:rPr>
        <w:t>存在问题及改进意见。</w:t>
      </w:r>
    </w:p>
    <w:p>
      <w:pPr>
        <w:numPr>
          <w:ilvl w:val="0"/>
          <w:numId w:val="0"/>
        </w:numPr>
        <w:ind w:right="0" w:righ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GB2312">
    <w:altName w:val="宋体"/>
    <w:panose1 w:val="00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BatangChe">
    <w:panose1 w:val="02030609000101010101"/>
    <w:charset w:val="81"/>
    <w:family w:val="auto"/>
    <w:pitch w:val="default"/>
    <w:sig w:usb0="B00002AF" w:usb1="69D77CFB" w:usb2="00000030" w:usb3="00000000" w:csb0="4008009F" w:csb1="DFD70000"/>
  </w:font>
  <w:font w:name="楷体_GB2312">
    <w:panose1 w:val="02010609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825318"/>
    <w:multiLevelType w:val="singleLevel"/>
    <w:tmpl w:val="2A825318"/>
    <w:lvl w:ilvl="0" w:tentative="0">
      <w:start w:val="2"/>
      <w:numFmt w:val="chineseCounting"/>
      <w:suff w:val="nothing"/>
      <w:lvlText w:val="%1、"/>
      <w:lvlJc w:val="left"/>
      <w:rPr>
        <w:rFonts w:hint="eastAsia"/>
      </w:rPr>
    </w:lvl>
  </w:abstractNum>
  <w:abstractNum w:abstractNumId="1">
    <w:nsid w:val="60EFAD0C"/>
    <w:multiLevelType w:val="singleLevel"/>
    <w:tmpl w:val="60EFAD0C"/>
    <w:lvl w:ilvl="0" w:tentative="0">
      <w:start w:val="1"/>
      <w:numFmt w:val="chineseCounting"/>
      <w:suff w:val="nothing"/>
      <w:lvlText w:val="（%1）"/>
      <w:lvlJc w:val="left"/>
      <w:pPr>
        <w:ind w:left="-1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3F179F"/>
    <w:rsid w:val="0CD06298"/>
    <w:rsid w:val="2F3F179F"/>
    <w:rsid w:val="366D0C1D"/>
    <w:rsid w:val="41BE1C0B"/>
    <w:rsid w:val="445C213E"/>
    <w:rsid w:val="68995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rmal"/>
    <w:qFormat/>
    <w:uiPriority w:val="0"/>
    <w:pPr>
      <w:jc w:val="both"/>
    </w:pPr>
    <w:rPr>
      <w:rFonts w:eastAsia="宋体" w:asciiTheme="minorHAnsi" w:hAnsiTheme="minorHAnsi" w:cstheme="minorBid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658</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2026-04-30T02:51:00Z</dcterms:created>
  <dc:creator>Administrator</dc:creator>
  <cp:lastModifiedBy>Administrator</cp:lastModifiedBy>
  <cp:lastPrinted>2026-05-14T01:58:00Z</cp:lastPrinted>
  <dcterms:modified xsi:type="dcterms:W3CDTF">2026-07-02T08:24:09Z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C7D0E7148EB440CEB37F48B8FE872A72</vt:lpwstr>
  </property>
</Properties>
</file>