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48F4A0">
      <w:pPr>
        <w:pStyle w:val="18"/>
        <w:widowControl w:val="0"/>
        <w:autoSpaceDE w:val="0"/>
        <w:autoSpaceDN w:val="0"/>
        <w:rPr>
          <w:rFonts w:hint="eastAsia" w:ascii="黑体" w:hAnsi="黑体" w:eastAsia="黑体"/>
          <w:sz w:val="32"/>
          <w:lang w:eastAsia="zh-CN"/>
        </w:rPr>
      </w:pPr>
      <w:r>
        <w:rPr>
          <w:rFonts w:hint="eastAsia" w:ascii="黑体" w:hAnsi="黑体" w:eastAsia="黑体"/>
          <w:sz w:val="32"/>
        </w:rPr>
        <w:t>附件</w:t>
      </w:r>
      <w:r>
        <w:rPr>
          <w:rFonts w:hint="eastAsia" w:ascii="黑体" w:hAnsi="黑体" w:eastAsia="黑体"/>
          <w:sz w:val="32"/>
          <w:lang w:val="en-US" w:eastAsia="zh-CN"/>
        </w:rPr>
        <w:t>4</w:t>
      </w:r>
    </w:p>
    <w:p w14:paraId="445C133A">
      <w:pPr>
        <w:pStyle w:val="18"/>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14:paraId="3650A179">
      <w:pPr>
        <w:pStyle w:val="18"/>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14:paraId="07254BF7">
      <w:pPr>
        <w:pStyle w:val="18"/>
        <w:widowControl w:val="0"/>
        <w:autoSpaceDE w:val="0"/>
        <w:autoSpaceDN w:val="0"/>
        <w:ind w:left="0" w:leftChars="0" w:right="0" w:rightChars="0" w:firstLine="0" w:firstLineChars="0"/>
        <w:jc w:val="center"/>
        <w:rPr>
          <w:rFonts w:hint="eastAsia" w:ascii="FangSong.GB2312" w:hAnsi="FangSong.GB2312" w:eastAsia="FangSong.GB2312"/>
          <w:sz w:val="30"/>
          <w:lang w:eastAsia="zh-CN"/>
        </w:rPr>
      </w:pPr>
    </w:p>
    <w:p w14:paraId="46728A50">
      <w:pPr>
        <w:pStyle w:val="18"/>
        <w:widowControl w:val="0"/>
        <w:autoSpaceDE w:val="0"/>
        <w:autoSpaceDN w:val="0"/>
        <w:ind w:left="0" w:leftChars="0" w:right="0" w:rightChars="0" w:firstLine="0" w:firstLineChars="0"/>
        <w:jc w:val="center"/>
        <w:rPr>
          <w:rFonts w:hint="eastAsia" w:ascii="FangSong.GB2312" w:hAnsi="FangSong.GB2312" w:eastAsia="FangSong.GB2312"/>
          <w:b/>
          <w:bCs/>
          <w:sz w:val="52"/>
          <w:lang w:eastAsia="zh-CN"/>
        </w:rPr>
      </w:pPr>
      <w:r>
        <w:rPr>
          <w:rFonts w:hint="eastAsia" w:ascii="FangSong.GB2312" w:hAnsi="FangSong.GB2312" w:eastAsia="FangSong.GB2312"/>
          <w:b/>
          <w:bCs/>
          <w:sz w:val="52"/>
          <w:lang w:eastAsia="zh-CN"/>
        </w:rPr>
        <w:t>部门整体支出绩效自评报告</w:t>
      </w:r>
    </w:p>
    <w:p w14:paraId="1D4B61CA">
      <w:pPr>
        <w:pStyle w:val="18"/>
        <w:widowControl w:val="0"/>
        <w:autoSpaceDE w:val="0"/>
        <w:autoSpaceDN w:val="0"/>
        <w:ind w:left="0" w:leftChars="0" w:right="0" w:rightChars="0" w:firstLine="0" w:firstLineChars="0"/>
        <w:jc w:val="center"/>
        <w:rPr>
          <w:rFonts w:hint="eastAsia" w:ascii="宋体" w:hAnsi="宋体" w:eastAsia="宋体"/>
          <w:sz w:val="36"/>
        </w:rPr>
      </w:pPr>
    </w:p>
    <w:p w14:paraId="5BBA2F1D">
      <w:pPr>
        <w:pStyle w:val="18"/>
        <w:widowControl w:val="0"/>
        <w:autoSpaceDE w:val="0"/>
        <w:autoSpaceDN w:val="0"/>
        <w:ind w:left="0" w:leftChars="0" w:right="0" w:rightChars="0" w:firstLine="0" w:firstLineChars="0"/>
        <w:jc w:val="center"/>
        <w:rPr>
          <w:rFonts w:hint="eastAsia" w:ascii="宋体" w:hAnsi="宋体" w:eastAsia="宋体"/>
          <w:sz w:val="36"/>
        </w:rPr>
      </w:pPr>
    </w:p>
    <w:p w14:paraId="48F56A5B">
      <w:pPr>
        <w:pStyle w:val="18"/>
        <w:widowControl w:val="0"/>
        <w:autoSpaceDE w:val="0"/>
        <w:autoSpaceDN w:val="0"/>
        <w:ind w:left="0" w:leftChars="0" w:right="0" w:rightChars="0" w:firstLine="0" w:firstLineChars="0"/>
        <w:jc w:val="center"/>
        <w:rPr>
          <w:rFonts w:hint="eastAsia" w:ascii="宋体" w:hAnsi="宋体" w:eastAsia="宋体"/>
          <w:sz w:val="36"/>
        </w:rPr>
      </w:pPr>
    </w:p>
    <w:p w14:paraId="2F646DE4">
      <w:pPr>
        <w:pStyle w:val="18"/>
        <w:widowControl w:val="0"/>
        <w:autoSpaceDE w:val="0"/>
        <w:autoSpaceDN w:val="0"/>
        <w:ind w:left="0" w:leftChars="0" w:right="0" w:rightChars="0" w:firstLine="0" w:firstLineChars="0"/>
        <w:jc w:val="center"/>
        <w:rPr>
          <w:rFonts w:hint="eastAsia" w:ascii="宋体" w:hAnsi="宋体" w:eastAsia="宋体"/>
          <w:sz w:val="36"/>
        </w:rPr>
      </w:pPr>
    </w:p>
    <w:p w14:paraId="271F08C2">
      <w:pPr>
        <w:pStyle w:val="18"/>
        <w:widowControl w:val="0"/>
        <w:autoSpaceDE w:val="0"/>
        <w:autoSpaceDN w:val="0"/>
        <w:ind w:left="0" w:leftChars="0" w:right="0" w:rightChars="0" w:firstLine="0" w:firstLineChars="0"/>
        <w:jc w:val="center"/>
        <w:rPr>
          <w:rFonts w:hint="eastAsia" w:ascii="宋体" w:hAnsi="宋体" w:eastAsia="宋体"/>
          <w:sz w:val="36"/>
        </w:rPr>
      </w:pPr>
    </w:p>
    <w:p w14:paraId="161B4AA8">
      <w:pPr>
        <w:pStyle w:val="18"/>
        <w:widowControl w:val="0"/>
        <w:autoSpaceDE w:val="0"/>
        <w:autoSpaceDN w:val="0"/>
        <w:ind w:left="0" w:leftChars="0" w:right="0" w:rightChars="0" w:firstLine="0" w:firstLineChars="0"/>
        <w:jc w:val="center"/>
        <w:rPr>
          <w:rFonts w:hint="eastAsia" w:ascii="宋体" w:hAnsi="宋体" w:eastAsia="宋体"/>
          <w:sz w:val="36"/>
        </w:rPr>
      </w:pPr>
    </w:p>
    <w:p w14:paraId="371B5A51">
      <w:pPr>
        <w:pStyle w:val="18"/>
        <w:widowControl w:val="0"/>
        <w:autoSpaceDE w:val="0"/>
        <w:autoSpaceDN w:val="0"/>
        <w:ind w:left="0" w:leftChars="0" w:right="0" w:rightChars="0" w:firstLine="0" w:firstLineChars="0"/>
        <w:jc w:val="both"/>
        <w:rPr>
          <w:rFonts w:hint="eastAsia" w:ascii="宋体" w:hAnsi="宋体"/>
          <w:sz w:val="36"/>
          <w:lang w:val="en-US" w:eastAsia="zh-CN"/>
        </w:rPr>
      </w:pPr>
      <w:r>
        <w:rPr>
          <w:rFonts w:hint="eastAsia" w:ascii="宋体" w:hAnsi="宋体"/>
          <w:sz w:val="36"/>
          <w:lang w:val="en-US" w:eastAsia="zh-CN"/>
        </w:rPr>
        <w:t xml:space="preserve">   </w:t>
      </w:r>
    </w:p>
    <w:p w14:paraId="086C3E11">
      <w:pPr>
        <w:pStyle w:val="18"/>
        <w:widowControl w:val="0"/>
        <w:autoSpaceDE w:val="0"/>
        <w:autoSpaceDN w:val="0"/>
        <w:ind w:left="0" w:leftChars="0" w:right="0" w:rightChars="0" w:firstLine="0" w:firstLineChars="0"/>
        <w:jc w:val="both"/>
        <w:rPr>
          <w:rFonts w:hint="eastAsia" w:ascii="宋体" w:hAnsi="宋体"/>
          <w:sz w:val="36"/>
          <w:lang w:val="en-US" w:eastAsia="zh-CN"/>
        </w:rPr>
      </w:pPr>
    </w:p>
    <w:p w14:paraId="42630BAF">
      <w:pPr>
        <w:pStyle w:val="18"/>
        <w:widowControl w:val="0"/>
        <w:autoSpaceDE w:val="0"/>
        <w:autoSpaceDN w:val="0"/>
        <w:ind w:left="0" w:leftChars="0" w:right="0" w:rightChars="0" w:firstLine="0" w:firstLineChars="0"/>
        <w:jc w:val="both"/>
        <w:rPr>
          <w:rFonts w:hint="eastAsia" w:ascii="宋体" w:hAnsi="宋体" w:eastAsia="宋体"/>
          <w:sz w:val="36"/>
        </w:rPr>
      </w:pPr>
      <w:r>
        <w:rPr>
          <w:rFonts w:hint="eastAsia" w:ascii="宋体" w:hAnsi="宋体" w:eastAsia="宋体"/>
          <w:sz w:val="36"/>
        </w:rPr>
        <w:t>部门名称：始兴县妇女联合会</w:t>
      </w:r>
    </w:p>
    <w:p w14:paraId="1419CA87">
      <w:pPr>
        <w:pStyle w:val="18"/>
        <w:widowControl w:val="0"/>
        <w:autoSpaceDE w:val="0"/>
        <w:autoSpaceDN w:val="0"/>
        <w:ind w:left="0" w:leftChars="0" w:right="0" w:rightChars="0" w:firstLine="0" w:firstLineChars="0"/>
        <w:jc w:val="both"/>
        <w:rPr>
          <w:rFonts w:hint="eastAsia" w:ascii="宋体" w:hAnsi="宋体"/>
          <w:sz w:val="36"/>
          <w:lang w:val="en-US" w:eastAsia="zh-CN"/>
        </w:rPr>
      </w:pPr>
      <w:r>
        <w:rPr>
          <w:rFonts w:hint="eastAsia" w:ascii="宋体" w:hAnsi="宋体"/>
          <w:sz w:val="36"/>
          <w:lang w:val="en-US" w:eastAsia="zh-CN"/>
        </w:rPr>
        <w:t xml:space="preserve">         </w:t>
      </w:r>
    </w:p>
    <w:p w14:paraId="03B256F2">
      <w:pPr>
        <w:pStyle w:val="18"/>
        <w:widowControl w:val="0"/>
        <w:autoSpaceDE w:val="0"/>
        <w:autoSpaceDN w:val="0"/>
        <w:ind w:left="0" w:leftChars="0" w:right="0" w:rightChars="0" w:firstLine="0" w:firstLineChars="0"/>
        <w:jc w:val="both"/>
        <w:rPr>
          <w:rFonts w:hint="default" w:ascii="宋体" w:hAnsi="宋体" w:eastAsia="宋体"/>
          <w:sz w:val="36"/>
          <w:lang w:val="en-US" w:eastAsia="zh-CN"/>
        </w:rPr>
      </w:pPr>
      <w:r>
        <w:rPr>
          <w:rFonts w:hint="eastAsia" w:ascii="宋体" w:hAnsi="宋体" w:eastAsia="宋体"/>
          <w:sz w:val="36"/>
        </w:rPr>
        <w:t>填</w:t>
      </w:r>
      <w:r>
        <w:rPr>
          <w:rFonts w:hint="eastAsia" w:ascii="宋体" w:hAnsi="宋体"/>
          <w:sz w:val="36"/>
          <w:lang w:val="en-US" w:eastAsia="zh-CN"/>
        </w:rPr>
        <w:t xml:space="preserve"> </w:t>
      </w:r>
      <w:r>
        <w:rPr>
          <w:rFonts w:hint="eastAsia" w:ascii="宋体" w:hAnsi="宋体" w:eastAsia="宋体"/>
          <w:sz w:val="36"/>
        </w:rPr>
        <w:t>报</w:t>
      </w:r>
      <w:r>
        <w:rPr>
          <w:rFonts w:hint="eastAsia" w:ascii="宋体" w:hAnsi="宋体"/>
          <w:sz w:val="36"/>
          <w:lang w:val="en-US" w:eastAsia="zh-CN"/>
        </w:rPr>
        <w:t xml:space="preserve"> </w:t>
      </w:r>
      <w:r>
        <w:rPr>
          <w:rFonts w:hint="eastAsia" w:ascii="宋体" w:hAnsi="宋体" w:eastAsia="宋体"/>
          <w:sz w:val="36"/>
        </w:rPr>
        <w:t>人：</w:t>
      </w:r>
      <w:r>
        <w:rPr>
          <w:rFonts w:hint="eastAsia" w:ascii="宋体" w:hAnsi="宋体"/>
          <w:sz w:val="36"/>
          <w:lang w:val="en-US" w:eastAsia="zh-CN"/>
        </w:rPr>
        <w:t>钟莹</w:t>
      </w:r>
    </w:p>
    <w:p w14:paraId="2A7816C0">
      <w:pPr>
        <w:pStyle w:val="18"/>
        <w:widowControl w:val="0"/>
        <w:autoSpaceDE w:val="0"/>
        <w:autoSpaceDN w:val="0"/>
        <w:ind w:left="0" w:leftChars="0" w:right="0" w:rightChars="0" w:firstLine="0" w:firstLineChars="0"/>
        <w:jc w:val="both"/>
        <w:rPr>
          <w:rFonts w:hint="eastAsia" w:ascii="宋体" w:hAnsi="宋体"/>
          <w:sz w:val="36"/>
          <w:lang w:val="en-US" w:eastAsia="zh-CN"/>
        </w:rPr>
      </w:pPr>
      <w:r>
        <w:rPr>
          <w:rFonts w:hint="eastAsia" w:ascii="宋体" w:hAnsi="宋体"/>
          <w:sz w:val="36"/>
          <w:lang w:val="en-US" w:eastAsia="zh-CN"/>
        </w:rPr>
        <w:t xml:space="preserve">        </w:t>
      </w:r>
    </w:p>
    <w:p w14:paraId="0A62E583">
      <w:pPr>
        <w:pStyle w:val="18"/>
        <w:widowControl w:val="0"/>
        <w:autoSpaceDE w:val="0"/>
        <w:autoSpaceDN w:val="0"/>
        <w:ind w:left="0" w:leftChars="0" w:right="0" w:rightChars="0" w:firstLine="0" w:firstLineChars="0"/>
        <w:jc w:val="both"/>
        <w:rPr>
          <w:rFonts w:hint="eastAsia" w:ascii="宋体" w:hAnsi="宋体" w:eastAsia="宋体"/>
          <w:sz w:val="36"/>
          <w:lang w:val="en-US" w:eastAsia="zh-CN"/>
        </w:rPr>
      </w:pPr>
      <w:r>
        <w:rPr>
          <w:rFonts w:hint="eastAsia" w:ascii="宋体" w:hAnsi="宋体" w:eastAsia="宋体"/>
          <w:sz w:val="36"/>
        </w:rPr>
        <w:t>联系电话：</w:t>
      </w:r>
      <w:r>
        <w:rPr>
          <w:rFonts w:hint="eastAsia" w:ascii="宋体" w:hAnsi="宋体"/>
          <w:sz w:val="36"/>
          <w:lang w:val="en-US" w:eastAsia="zh-CN"/>
        </w:rPr>
        <w:t xml:space="preserve">0751-3327227 </w:t>
      </w:r>
    </w:p>
    <w:p w14:paraId="1EE8647E">
      <w:pPr>
        <w:ind w:left="0" w:leftChars="0" w:right="0" w:rightChars="0" w:firstLine="0" w:firstLineChars="0"/>
        <w:jc w:val="both"/>
        <w:rPr>
          <w:rFonts w:hint="eastAsia" w:ascii="黑体" w:hAnsi="黑体" w:eastAsia="黑体"/>
          <w:sz w:val="32"/>
        </w:rPr>
      </w:pPr>
      <w:r>
        <w:rPr>
          <w:rFonts w:hint="eastAsia" w:ascii="宋体" w:hAnsi="宋体" w:eastAsia="宋体"/>
          <w:sz w:val="36"/>
        </w:rPr>
        <w:t>填报日期：</w:t>
      </w:r>
      <w:r>
        <w:rPr>
          <w:rFonts w:hint="eastAsia" w:ascii="宋体" w:hAnsi="宋体"/>
          <w:sz w:val="36"/>
          <w:lang w:val="en-US" w:eastAsia="zh-CN"/>
        </w:rPr>
        <w:t>2026-05-06</w:t>
      </w:r>
      <w:r>
        <w:rPr>
          <w:rFonts w:hint="eastAsia" w:ascii="宋体" w:hAnsi="宋体" w:eastAsia="宋体"/>
          <w:sz w:val="36"/>
        </w:rPr>
        <w:br w:type="page"/>
      </w:r>
      <w:r>
        <w:rPr>
          <w:rFonts w:hint="eastAsia" w:ascii="宋体" w:hAnsi="宋体"/>
          <w:sz w:val="36"/>
          <w:lang w:val="en-US" w:eastAsia="zh-CN"/>
        </w:rPr>
        <w:t xml:space="preserve">    </w:t>
      </w:r>
      <w:r>
        <w:rPr>
          <w:rFonts w:hint="eastAsia" w:ascii="黑体" w:hAnsi="黑体" w:eastAsia="黑体"/>
          <w:sz w:val="32"/>
        </w:rPr>
        <w:t>一、部门基本情况</w:t>
      </w:r>
    </w:p>
    <w:p w14:paraId="1B7F0E78">
      <w:pPr>
        <w:numPr>
          <w:ilvl w:val="0"/>
          <w:numId w:val="1"/>
        </w:numPr>
        <w:ind w:left="0" w:leftChars="0" w:right="0" w:rightChars="0" w:firstLine="640" w:firstLineChars="200"/>
        <w:jc w:val="left"/>
        <w:rPr>
          <w:rFonts w:hint="eastAsia" w:ascii="仿宋_GB2312" w:eastAsia="仿宋_GB2312"/>
          <w:sz w:val="32"/>
          <w:szCs w:val="32"/>
        </w:rPr>
      </w:pPr>
      <w:r>
        <w:rPr>
          <w:rFonts w:hint="eastAsia" w:ascii="楷体_GB2312" w:hAnsi="楷体_GB2312" w:eastAsia="楷体_GB2312" w:cs="楷体_GB2312"/>
          <w:sz w:val="32"/>
        </w:rPr>
        <w:t>部门职能</w:t>
      </w:r>
      <w:r>
        <w:rPr>
          <w:rFonts w:hint="eastAsia" w:ascii="仿宋_GB2312" w:hAnsi="仿宋_GB2312" w:eastAsia="仿宋_GB2312"/>
          <w:sz w:val="32"/>
        </w:rPr>
        <w:t>。</w:t>
      </w:r>
    </w:p>
    <w:p w14:paraId="43203238">
      <w:pPr>
        <w:numPr>
          <w:ilvl w:val="0"/>
          <w:numId w:val="0"/>
        </w:numPr>
        <w:ind w:right="0" w:rightChars="0" w:firstLine="640" w:firstLineChars="200"/>
        <w:jc w:val="left"/>
        <w:rPr>
          <w:rFonts w:hint="eastAsia" w:ascii="仿宋_GB2312" w:eastAsia="仿宋_GB2312"/>
          <w:sz w:val="32"/>
          <w:szCs w:val="32"/>
        </w:rPr>
      </w:pPr>
      <w:r>
        <w:rPr>
          <w:rFonts w:hint="eastAsia" w:ascii="仿宋_GB2312" w:eastAsia="仿宋_GB2312"/>
          <w:sz w:val="32"/>
          <w:szCs w:val="32"/>
        </w:rPr>
        <w:t xml:space="preserve">围绕党的中心工作，贯彻县委、县政府和上级妇联部署的各项任务。制定本县妇女儿童事业发展规划，各时期妇女工作和年度工作计划并组织实施。     </w:t>
      </w:r>
    </w:p>
    <w:p w14:paraId="3B99630E">
      <w:pPr>
        <w:ind w:left="0" w:leftChars="0" w:right="0" w:rightChars="0" w:firstLine="640" w:firstLineChars="200"/>
        <w:jc w:val="left"/>
        <w:rPr>
          <w:rFonts w:hint="eastAsia" w:ascii="仿宋_GB2312" w:hAnsi="仿宋_GB2312" w:eastAsia="仿宋_GB2312"/>
          <w:sz w:val="32"/>
        </w:rPr>
      </w:pPr>
      <w:r>
        <w:rPr>
          <w:rFonts w:hint="eastAsia" w:ascii="仿宋_GB2312" w:eastAsia="仿宋_GB2312"/>
          <w:sz w:val="32"/>
          <w:szCs w:val="32"/>
        </w:rPr>
        <w:t>本部门内设2个股室，分别是文秘、宣传、社工部和妇女、儿童权益部。本部门人员编制4人，202</w:t>
      </w:r>
      <w:r>
        <w:rPr>
          <w:rFonts w:hint="eastAsia" w:ascii="仿宋_GB2312" w:eastAsia="仿宋_GB2312"/>
          <w:sz w:val="32"/>
          <w:szCs w:val="32"/>
          <w:lang w:val="en-US" w:eastAsia="zh-CN"/>
        </w:rPr>
        <w:t>4</w:t>
      </w:r>
      <w:r>
        <w:rPr>
          <w:rFonts w:hint="eastAsia" w:ascii="仿宋_GB2312" w:eastAsia="仿宋_GB2312"/>
          <w:sz w:val="32"/>
          <w:szCs w:val="32"/>
        </w:rPr>
        <w:t>年12月底，实有在职在编人员4人。</w:t>
      </w:r>
    </w:p>
    <w:p w14:paraId="6DA55268">
      <w:pPr>
        <w:numPr>
          <w:ilvl w:val="0"/>
          <w:numId w:val="1"/>
        </w:numPr>
        <w:ind w:left="0" w:leftChars="0" w:right="0" w:rightChars="0" w:firstLine="640" w:firstLineChars="200"/>
        <w:jc w:val="left"/>
        <w:rPr>
          <w:rFonts w:hint="eastAsia" w:ascii="仿宋_GB2312" w:eastAsia="仿宋_GB2312"/>
          <w:sz w:val="32"/>
          <w:szCs w:val="32"/>
        </w:rPr>
      </w:pPr>
      <w:r>
        <w:rPr>
          <w:rFonts w:hint="eastAsia" w:ascii="楷体_GB2312" w:hAnsi="楷体_GB2312" w:eastAsia="楷体_GB2312" w:cs="楷体_GB2312"/>
          <w:sz w:val="32"/>
        </w:rPr>
        <w:t>年度总体工作和重点工作任务。</w:t>
      </w:r>
      <w:r>
        <w:rPr>
          <w:rFonts w:hint="eastAsia" w:ascii="仿宋_GB2312" w:eastAsia="仿宋_GB2312"/>
          <w:sz w:val="32"/>
          <w:szCs w:val="32"/>
        </w:rPr>
        <w:t xml:space="preserve"> </w:t>
      </w:r>
    </w:p>
    <w:p w14:paraId="2ABF7149">
      <w:pPr>
        <w:numPr>
          <w:ilvl w:val="0"/>
          <w:numId w:val="0"/>
        </w:numPr>
        <w:ind w:right="0" w:rightChars="0" w:firstLine="640" w:firstLineChars="200"/>
        <w:jc w:val="left"/>
        <w:rPr>
          <w:rFonts w:hint="eastAsia" w:ascii="仿宋_GB2312" w:eastAsia="仿宋_GB2312"/>
          <w:sz w:val="32"/>
          <w:szCs w:val="32"/>
        </w:rPr>
      </w:pPr>
      <w:r>
        <w:rPr>
          <w:rFonts w:hint="eastAsia" w:ascii="仿宋_GB2312" w:eastAsia="仿宋_GB2312"/>
          <w:sz w:val="32"/>
          <w:szCs w:val="32"/>
        </w:rPr>
        <w:t>本会始终坚持“以妇女为中心”的工作理念，将促进妇女全面发展作为首要任务。在过去的一年里，我们围绕促进妇女就业、保障妇女权益、提升妇女素质等方面制定了一系列具体的工作目标。围绕妇女儿童法律法规政策落实、妇女儿童发展规划纲要实施，加强组织协调和指导督促，推动各乡镇各部门共同完善服务妇女儿童家庭“政策包”，强化规划纲要推进力度，推动妇儿规划数据统计监测工作。推动落实“男女平等基本国策”，开展性别平等主题活动，推动男女平等基本国策进家庭、进社区、进校园。</w:t>
      </w:r>
    </w:p>
    <w:p w14:paraId="19172145">
      <w:pPr>
        <w:ind w:right="0" w:rightChars="0" w:firstLine="640" w:firstLineChars="200"/>
        <w:jc w:val="left"/>
        <w:rPr>
          <w:rFonts w:hint="eastAsia" w:ascii="仿宋_GB2312" w:hAnsi="仿宋_GB2312" w:eastAsia="仿宋_GB2312"/>
          <w:sz w:val="32"/>
        </w:rPr>
      </w:pPr>
    </w:p>
    <w:p w14:paraId="0BA30F02">
      <w:pPr>
        <w:numPr>
          <w:ilvl w:val="0"/>
          <w:numId w:val="1"/>
        </w:numPr>
        <w:ind w:left="0" w:leftChars="0" w:right="0" w:rightChars="0" w:firstLine="640" w:firstLineChars="200"/>
        <w:jc w:val="left"/>
        <w:rPr>
          <w:rFonts w:hint="eastAsia" w:ascii="仿宋_GB2312" w:eastAsia="仿宋_GB2312"/>
          <w:sz w:val="32"/>
          <w:szCs w:val="32"/>
        </w:rPr>
      </w:pPr>
      <w:r>
        <w:rPr>
          <w:rFonts w:hint="eastAsia" w:ascii="楷体_GB2312" w:hAnsi="楷体_GB2312" w:eastAsia="楷体_GB2312" w:cs="楷体_GB2312"/>
          <w:sz w:val="32"/>
        </w:rPr>
        <w:t>部门整体支出绩效目标。</w:t>
      </w:r>
      <w:r>
        <w:rPr>
          <w:rFonts w:hint="eastAsia" w:ascii="仿宋_GB2312" w:hAnsi="仿宋_GB2312" w:eastAsia="仿宋_GB2312"/>
          <w:sz w:val="32"/>
          <w:lang w:eastAsia="zh-CN"/>
        </w:rPr>
        <w:t>分析</w:t>
      </w:r>
      <w:r>
        <w:rPr>
          <w:rFonts w:hint="eastAsia" w:ascii="仿宋_GB2312" w:hAnsi="仿宋_GB2312" w:eastAsia="仿宋_GB2312"/>
          <w:sz w:val="32"/>
        </w:rPr>
        <w:t>绩效目标</w:t>
      </w:r>
      <w:r>
        <w:rPr>
          <w:rFonts w:hint="eastAsia" w:ascii="仿宋_GB2312" w:hAnsi="仿宋_GB2312" w:eastAsia="仿宋_GB2312"/>
          <w:sz w:val="32"/>
          <w:lang w:eastAsia="zh-CN"/>
        </w:rPr>
        <w:t>、指标与</w:t>
      </w:r>
      <w:r>
        <w:rPr>
          <w:rFonts w:hint="eastAsia" w:ascii="仿宋_GB2312" w:eastAsia="仿宋_GB2312"/>
          <w:sz w:val="32"/>
          <w:szCs w:val="32"/>
        </w:rPr>
        <w:t>部门职能、中期规划</w:t>
      </w:r>
      <w:r>
        <w:rPr>
          <w:rFonts w:hint="eastAsia" w:ascii="仿宋_GB2312" w:eastAsia="仿宋_GB2312"/>
          <w:sz w:val="32"/>
          <w:szCs w:val="32"/>
          <w:lang w:eastAsia="zh-CN"/>
        </w:rPr>
        <w:t>、</w:t>
      </w:r>
      <w:r>
        <w:rPr>
          <w:rFonts w:hint="eastAsia" w:ascii="仿宋_GB2312" w:eastAsia="仿宋_GB2312"/>
          <w:sz w:val="32"/>
          <w:szCs w:val="32"/>
        </w:rPr>
        <w:t>年度工作计划的相关</w:t>
      </w:r>
      <w:r>
        <w:rPr>
          <w:rFonts w:hint="eastAsia" w:ascii="仿宋_GB2312" w:eastAsia="仿宋_GB2312"/>
          <w:sz w:val="32"/>
          <w:szCs w:val="32"/>
          <w:lang w:eastAsia="zh-CN"/>
        </w:rPr>
        <w:t>性、合理性和明确性</w:t>
      </w:r>
      <w:r>
        <w:rPr>
          <w:rFonts w:hint="eastAsia" w:ascii="仿宋_GB2312" w:eastAsia="仿宋_GB2312"/>
          <w:sz w:val="32"/>
          <w:szCs w:val="32"/>
        </w:rPr>
        <w:t>。</w:t>
      </w:r>
    </w:p>
    <w:p w14:paraId="0AD10315">
      <w:pPr>
        <w:numPr>
          <w:ilvl w:val="0"/>
          <w:numId w:val="0"/>
        </w:numPr>
        <w:ind w:right="0" w:rightChars="0" w:firstLine="640" w:firstLineChars="200"/>
        <w:jc w:val="left"/>
        <w:rPr>
          <w:rFonts w:hint="eastAsia" w:ascii="仿宋_GB2312" w:eastAsia="仿宋_GB2312"/>
          <w:sz w:val="32"/>
          <w:szCs w:val="32"/>
        </w:rPr>
      </w:pPr>
      <w:r>
        <w:rPr>
          <w:rFonts w:hint="eastAsia" w:ascii="仿宋_GB2312" w:eastAsia="仿宋_GB2312"/>
          <w:sz w:val="32"/>
          <w:szCs w:val="32"/>
        </w:rPr>
        <w:t>通过部门整体支出资金项目的实施。对单位做好妇联服务基层妇女工作、基层组织阵地建设工作、妇女创业就业工作、妇女儿童维权工作、妇女儿童帮扶工作开展起到了积极作用。</w:t>
      </w:r>
    </w:p>
    <w:p w14:paraId="33DE4A5D">
      <w:pPr>
        <w:numPr>
          <w:ilvl w:val="0"/>
          <w:numId w:val="2"/>
        </w:numPr>
        <w:ind w:right="0" w:rightChars="0" w:firstLine="640" w:firstLineChars="200"/>
        <w:jc w:val="left"/>
        <w:rPr>
          <w:rFonts w:hint="eastAsia" w:ascii="仿宋_GB2312" w:eastAsia="仿宋_GB2312"/>
          <w:sz w:val="32"/>
          <w:szCs w:val="32"/>
        </w:rPr>
      </w:pPr>
      <w:r>
        <w:rPr>
          <w:rFonts w:hint="eastAsia" w:ascii="仿宋_GB2312" w:eastAsia="仿宋_GB2312"/>
          <w:sz w:val="32"/>
          <w:szCs w:val="32"/>
        </w:rPr>
        <w:t>经济性分析。</w:t>
      </w:r>
    </w:p>
    <w:p w14:paraId="54FE1F85">
      <w:pPr>
        <w:numPr>
          <w:ilvl w:val="0"/>
          <w:numId w:val="0"/>
        </w:numPr>
        <w:ind w:right="0" w:rightChars="0" w:firstLine="640" w:firstLineChars="200"/>
        <w:jc w:val="left"/>
        <w:rPr>
          <w:rFonts w:hint="eastAsia" w:ascii="仿宋_GB2312" w:eastAsia="仿宋_GB2312"/>
          <w:sz w:val="32"/>
          <w:szCs w:val="32"/>
        </w:rPr>
      </w:pPr>
      <w:r>
        <w:rPr>
          <w:rFonts w:hint="eastAsia" w:ascii="仿宋_GB2312" w:eastAsia="仿宋_GB2312"/>
          <w:sz w:val="32"/>
          <w:szCs w:val="32"/>
        </w:rPr>
        <w:t>202</w:t>
      </w:r>
      <w:r>
        <w:rPr>
          <w:rFonts w:hint="eastAsia" w:ascii="仿宋_GB2312" w:eastAsia="仿宋_GB2312"/>
          <w:sz w:val="32"/>
          <w:szCs w:val="32"/>
          <w:lang w:val="en-US" w:eastAsia="zh-CN"/>
        </w:rPr>
        <w:t>5</w:t>
      </w:r>
      <w:r>
        <w:rPr>
          <w:rFonts w:hint="eastAsia" w:ascii="仿宋_GB2312" w:eastAsia="仿宋_GB2312"/>
          <w:sz w:val="32"/>
          <w:szCs w:val="32"/>
        </w:rPr>
        <w:t>年我单位整体部门支出资金</w:t>
      </w:r>
      <w:r>
        <w:rPr>
          <w:rFonts w:hint="eastAsia" w:ascii="仿宋_GB2312" w:eastAsia="仿宋_GB2312"/>
          <w:sz w:val="32"/>
          <w:szCs w:val="32"/>
          <w:highlight w:val="yellow"/>
          <w:lang w:val="en-US" w:eastAsia="zh-CN"/>
        </w:rPr>
        <w:t>174.48</w:t>
      </w:r>
      <w:r>
        <w:rPr>
          <w:rFonts w:hint="eastAsia" w:ascii="仿宋_GB2312" w:eastAsia="仿宋_GB2312"/>
          <w:sz w:val="32"/>
          <w:szCs w:val="32"/>
        </w:rPr>
        <w:t>万元，本着“少花钱、多办事、办好事”的原则，严格控制“三公”经费的支出，“三公经费”控制率为100%。</w:t>
      </w:r>
    </w:p>
    <w:p w14:paraId="16183D97">
      <w:pPr>
        <w:numPr>
          <w:ilvl w:val="0"/>
          <w:numId w:val="0"/>
        </w:numPr>
        <w:ind w:right="0" w:rightChars="0" w:firstLine="640" w:firstLineChars="200"/>
        <w:jc w:val="left"/>
        <w:rPr>
          <w:rFonts w:hint="eastAsia" w:ascii="仿宋_GB2312" w:eastAsia="仿宋_GB2312"/>
          <w:sz w:val="32"/>
          <w:szCs w:val="32"/>
        </w:rPr>
      </w:pPr>
      <w:r>
        <w:rPr>
          <w:rFonts w:hint="eastAsia" w:ascii="仿宋_GB2312" w:eastAsia="仿宋_GB2312"/>
          <w:sz w:val="32"/>
          <w:szCs w:val="32"/>
        </w:rPr>
        <w:t>2、效率性分析。根据部门整体支出目标，及时进行任务分工，进一步完善了财务制度，使财政收支预算执行得到了良好的制度保障和实施效果。工作任务完成率100%。</w:t>
      </w:r>
    </w:p>
    <w:p w14:paraId="44CE3ED4">
      <w:pPr>
        <w:numPr>
          <w:ilvl w:val="0"/>
          <w:numId w:val="0"/>
        </w:numPr>
        <w:ind w:right="0" w:rightChars="0" w:firstLine="640" w:firstLineChars="200"/>
        <w:jc w:val="left"/>
        <w:rPr>
          <w:rFonts w:hint="eastAsia" w:ascii="仿宋_GB2312" w:eastAsia="仿宋_GB2312"/>
          <w:sz w:val="32"/>
          <w:szCs w:val="32"/>
        </w:rPr>
      </w:pPr>
      <w:r>
        <w:rPr>
          <w:rFonts w:hint="eastAsia" w:ascii="仿宋_GB2312" w:eastAsia="仿宋_GB2312"/>
          <w:sz w:val="32"/>
          <w:szCs w:val="32"/>
        </w:rPr>
        <w:t>3、效益性分析。通过部门整体支出资金项目的实施。对单位做好妇联服务基层妇女工作、基层组织阵地建设工作、妇女创业就业工作、妇女儿童维权工作、妇女儿童帮扶工作开展起到了积极作用。</w:t>
      </w:r>
    </w:p>
    <w:p w14:paraId="7E2CB6A6">
      <w:pPr>
        <w:ind w:left="0" w:leftChars="0" w:right="0" w:rightChars="0" w:firstLine="640" w:firstLineChars="200"/>
        <w:jc w:val="left"/>
        <w:rPr>
          <w:rFonts w:hint="eastAsia" w:ascii="仿宋_GB2312" w:eastAsia="仿宋_GB2312"/>
          <w:sz w:val="32"/>
          <w:szCs w:val="32"/>
        </w:rPr>
      </w:pPr>
      <w:r>
        <w:rPr>
          <w:rFonts w:hint="eastAsia" w:ascii="楷体_GB2312" w:hAnsi="楷体_GB2312" w:eastAsia="楷体_GB2312" w:cs="楷体_GB2312"/>
          <w:sz w:val="32"/>
        </w:rPr>
        <w:t>（四）部门整体支出情况。</w:t>
      </w:r>
      <w:r>
        <w:rPr>
          <w:rFonts w:hint="eastAsia" w:ascii="仿宋_GB2312" w:hAnsi="仿宋_GB2312" w:eastAsia="仿宋_GB2312"/>
          <w:sz w:val="32"/>
          <w:lang w:eastAsia="zh-CN"/>
        </w:rPr>
        <w:t>分析</w:t>
      </w:r>
      <w:r>
        <w:rPr>
          <w:rFonts w:hint="eastAsia" w:ascii="仿宋_GB2312" w:eastAsia="仿宋_GB2312"/>
          <w:sz w:val="32"/>
          <w:szCs w:val="32"/>
        </w:rPr>
        <w:t>部门预算收支构成、资金来源、近两年预算支出预决算数据对比等。</w:t>
      </w:r>
    </w:p>
    <w:p w14:paraId="5723FF20">
      <w:pPr>
        <w:ind w:right="0" w:rightChars="0" w:firstLine="640" w:firstLineChars="200"/>
        <w:jc w:val="left"/>
        <w:rPr>
          <w:rFonts w:hint="eastAsia" w:ascii="仿宋_GB2312" w:eastAsia="仿宋_GB2312"/>
          <w:sz w:val="32"/>
          <w:szCs w:val="32"/>
        </w:rPr>
      </w:pPr>
      <w:r>
        <w:rPr>
          <w:rFonts w:hint="eastAsia" w:ascii="仿宋_GB2312" w:eastAsia="仿宋_GB2312"/>
          <w:sz w:val="32"/>
          <w:szCs w:val="32"/>
        </w:rPr>
        <w:t>2025年支出预算按用途划分，基本支出预算91.1</w:t>
      </w:r>
      <w:r>
        <w:rPr>
          <w:rFonts w:hint="eastAsia" w:ascii="仿宋_GB2312" w:eastAsia="仿宋_GB2312"/>
          <w:sz w:val="32"/>
          <w:szCs w:val="32"/>
          <w:lang w:val="en-US" w:eastAsia="zh-CN"/>
        </w:rPr>
        <w:t>1</w:t>
      </w:r>
      <w:r>
        <w:rPr>
          <w:rFonts w:hint="eastAsia" w:ascii="仿宋_GB2312" w:eastAsia="仿宋_GB2312"/>
          <w:sz w:val="32"/>
          <w:szCs w:val="32"/>
        </w:rPr>
        <w:t>万元，占52.</w:t>
      </w:r>
      <w:r>
        <w:rPr>
          <w:rFonts w:hint="eastAsia" w:ascii="仿宋_GB2312" w:eastAsia="仿宋_GB2312"/>
          <w:sz w:val="32"/>
          <w:szCs w:val="32"/>
          <w:lang w:val="en-US" w:eastAsia="zh-CN"/>
        </w:rPr>
        <w:t>22</w:t>
      </w:r>
      <w:r>
        <w:rPr>
          <w:rFonts w:hint="eastAsia" w:ascii="仿宋_GB2312" w:eastAsia="仿宋_GB2312"/>
          <w:sz w:val="32"/>
          <w:szCs w:val="32"/>
        </w:rPr>
        <w:t>%，比上年增加1</w:t>
      </w:r>
      <w:r>
        <w:rPr>
          <w:rFonts w:hint="eastAsia" w:ascii="仿宋_GB2312" w:eastAsia="仿宋_GB2312"/>
          <w:sz w:val="32"/>
          <w:szCs w:val="32"/>
          <w:lang w:val="en-US" w:eastAsia="zh-CN"/>
        </w:rPr>
        <w:t>.49</w:t>
      </w:r>
      <w:r>
        <w:rPr>
          <w:rFonts w:hint="eastAsia" w:ascii="仿宋_GB2312" w:eastAsia="仿宋_GB2312"/>
          <w:sz w:val="32"/>
          <w:szCs w:val="32"/>
        </w:rPr>
        <w:t>万元，增长1.</w:t>
      </w:r>
      <w:r>
        <w:rPr>
          <w:rFonts w:hint="eastAsia" w:ascii="仿宋_GB2312" w:eastAsia="仿宋_GB2312"/>
          <w:sz w:val="32"/>
          <w:szCs w:val="32"/>
          <w:lang w:val="en-US" w:eastAsia="zh-CN"/>
        </w:rPr>
        <w:t>62</w:t>
      </w:r>
      <w:r>
        <w:rPr>
          <w:rFonts w:hint="eastAsia" w:ascii="仿宋_GB2312" w:eastAsia="仿宋_GB2312"/>
          <w:sz w:val="32"/>
          <w:szCs w:val="32"/>
        </w:rPr>
        <w:t>%。其中：工资福利支出80.49万元，对个人和家庭的补助0万元，商品和服务支出10.62万元，其他资本性支出等支出0万元；项目支出预算83.37万元，占47.78%，比上年增加0万元，增长0%。 2025年一般公共预算拨款支出预算按用途划分，基本支出预算91.1</w:t>
      </w:r>
      <w:r>
        <w:rPr>
          <w:rFonts w:hint="eastAsia" w:ascii="仿宋_GB2312" w:eastAsia="仿宋_GB2312"/>
          <w:sz w:val="32"/>
          <w:szCs w:val="32"/>
          <w:lang w:val="en-US" w:eastAsia="zh-CN"/>
        </w:rPr>
        <w:t>1</w:t>
      </w:r>
      <w:r>
        <w:rPr>
          <w:rFonts w:hint="eastAsia" w:ascii="仿宋_GB2312" w:eastAsia="仿宋_GB2312"/>
          <w:sz w:val="32"/>
          <w:szCs w:val="32"/>
        </w:rPr>
        <w:t>万元，占52.</w:t>
      </w:r>
      <w:r>
        <w:rPr>
          <w:rFonts w:hint="eastAsia" w:ascii="仿宋_GB2312" w:eastAsia="仿宋_GB2312"/>
          <w:sz w:val="32"/>
          <w:szCs w:val="32"/>
          <w:lang w:val="en-US" w:eastAsia="zh-CN"/>
        </w:rPr>
        <w:t>22</w:t>
      </w:r>
      <w:r>
        <w:rPr>
          <w:rFonts w:hint="eastAsia" w:ascii="仿宋_GB2312" w:eastAsia="仿宋_GB2312"/>
          <w:sz w:val="32"/>
          <w:szCs w:val="32"/>
        </w:rPr>
        <w:t>%，比上年增加1.</w:t>
      </w:r>
      <w:r>
        <w:rPr>
          <w:rFonts w:hint="eastAsia" w:ascii="仿宋_GB2312" w:eastAsia="仿宋_GB2312"/>
          <w:sz w:val="32"/>
          <w:szCs w:val="32"/>
          <w:lang w:val="en-US" w:eastAsia="zh-CN"/>
        </w:rPr>
        <w:t>49</w:t>
      </w:r>
      <w:r>
        <w:rPr>
          <w:rFonts w:hint="eastAsia" w:ascii="仿宋_GB2312" w:eastAsia="仿宋_GB2312"/>
          <w:sz w:val="32"/>
          <w:szCs w:val="32"/>
        </w:rPr>
        <w:t>万元，增长1.</w:t>
      </w:r>
      <w:r>
        <w:rPr>
          <w:rFonts w:hint="eastAsia" w:ascii="仿宋_GB2312" w:eastAsia="仿宋_GB2312"/>
          <w:sz w:val="32"/>
          <w:szCs w:val="32"/>
          <w:lang w:val="en-US" w:eastAsia="zh-CN"/>
        </w:rPr>
        <w:t>62</w:t>
      </w:r>
      <w:r>
        <w:rPr>
          <w:rFonts w:hint="eastAsia" w:ascii="仿宋_GB2312" w:eastAsia="仿宋_GB2312"/>
          <w:sz w:val="32"/>
          <w:szCs w:val="32"/>
        </w:rPr>
        <w:t>%。其中：工资福利支出80.49万元，对个人和家庭的补助0万元，商品和服务支出10.62万元，其他资本性支出等支出0万元；项目支出预算83.37万元，占47.78%，比上年增加</w:t>
      </w:r>
      <w:r>
        <w:rPr>
          <w:rFonts w:hint="eastAsia" w:ascii="仿宋_GB2312" w:eastAsia="仿宋_GB2312"/>
          <w:sz w:val="32"/>
          <w:szCs w:val="32"/>
          <w:lang w:val="en-US" w:eastAsia="zh-CN"/>
        </w:rPr>
        <w:t>15.68</w:t>
      </w:r>
      <w:r>
        <w:rPr>
          <w:rFonts w:hint="eastAsia" w:ascii="仿宋_GB2312" w:eastAsia="仿宋_GB2312"/>
          <w:sz w:val="32"/>
          <w:szCs w:val="32"/>
        </w:rPr>
        <w:t>万元，增长</w:t>
      </w:r>
      <w:r>
        <w:rPr>
          <w:rFonts w:hint="eastAsia" w:ascii="仿宋_GB2312" w:eastAsia="仿宋_GB2312"/>
          <w:sz w:val="32"/>
          <w:szCs w:val="32"/>
          <w:lang w:val="en-US" w:eastAsia="zh-CN"/>
        </w:rPr>
        <w:t>23.16</w:t>
      </w:r>
      <w:bookmarkStart w:id="0" w:name="_GoBack"/>
      <w:bookmarkEnd w:id="0"/>
      <w:r>
        <w:rPr>
          <w:rFonts w:hint="eastAsia" w:ascii="仿宋_GB2312" w:eastAsia="仿宋_GB2312"/>
          <w:sz w:val="32"/>
          <w:szCs w:val="32"/>
        </w:rPr>
        <w:t>%。 2025年本部门财政拨款安排“三公”经费2.79万元，比上年增加0万元，增长0%，主要原因是与上年持平，无增减变化。其中：因公出国（境）费0万元，比上年增加0万元，增长0%，主要原因是与上年持平，无增减变化；公务用车购置及运行维护费2.5万元（公务用车购置费0万元，比上年增加0万元；公务用车运行维护费2.5万元，比上年增加0万元。）比上年增加0万元，增长0%，主要原因是与上年持平，无增减变化；公务接待费0.29万元，比上年增加0万元，增长0%，主要原因是与上年持平，无增减变化。</w:t>
      </w:r>
    </w:p>
    <w:p w14:paraId="3DCF75C3">
      <w:pPr>
        <w:ind w:left="0" w:leftChars="0" w:right="0" w:rightChars="0" w:firstLine="640" w:firstLineChars="200"/>
        <w:jc w:val="left"/>
        <w:rPr>
          <w:rFonts w:hint="eastAsia" w:ascii="黑体" w:hAnsi="黑体" w:eastAsia="黑体"/>
          <w:sz w:val="32"/>
        </w:rPr>
      </w:pPr>
      <w:r>
        <w:rPr>
          <w:rFonts w:hint="eastAsia" w:ascii="黑体" w:hAnsi="黑体" w:eastAsia="黑体"/>
          <w:sz w:val="32"/>
        </w:rPr>
        <w:t>二、绩效自评情况</w:t>
      </w:r>
    </w:p>
    <w:p w14:paraId="05CA9895">
      <w:pPr>
        <w:ind w:left="0" w:leftChars="0" w:right="0" w:rightChars="0" w:firstLine="640" w:firstLineChars="200"/>
        <w:jc w:val="left"/>
        <w:rPr>
          <w:rFonts w:hint="eastAsia" w:ascii="楷体_GB2312" w:hAnsi="楷体_GB2312" w:eastAsia="楷体_GB2312" w:cs="楷体_GB2312"/>
          <w:sz w:val="32"/>
          <w:lang w:eastAsia="zh-CN"/>
        </w:rPr>
      </w:pPr>
      <w:r>
        <w:rPr>
          <w:rFonts w:hint="eastAsia" w:ascii="楷体_GB2312" w:hAnsi="楷体_GB2312" w:eastAsia="楷体_GB2312" w:cs="楷体_GB2312"/>
          <w:sz w:val="32"/>
          <w:lang w:eastAsia="zh-CN"/>
        </w:rPr>
        <w:t>（一）履职效能分析</w:t>
      </w:r>
    </w:p>
    <w:p w14:paraId="3304B80B">
      <w:pPr>
        <w:ind w:left="0" w:leftChars="0" w:right="0" w:rightChars="0" w:firstLine="640" w:firstLineChars="200"/>
        <w:jc w:val="left"/>
        <w:rPr>
          <w:rFonts w:hint="eastAsia" w:ascii="仿宋_GB2312" w:hAnsi="仿宋_GB2312" w:eastAsia="仿宋_GB2312"/>
          <w:sz w:val="32"/>
          <w:lang w:eastAsia="zh-CN"/>
        </w:rPr>
      </w:pPr>
      <w:r>
        <w:rPr>
          <w:rFonts w:hint="eastAsia" w:ascii="仿宋_GB2312" w:hAnsi="仿宋_GB2312" w:eastAsia="仿宋_GB2312"/>
          <w:sz w:val="32"/>
          <w:lang w:eastAsia="zh-CN"/>
        </w:rPr>
        <w:t>结合部门职能与年度总体工作、重点工作任务反映部门整体绩效目标的产出和效益情况及部门预算支出情况，分析存在问题和改进方向。</w:t>
      </w:r>
    </w:p>
    <w:p w14:paraId="0CD130FA">
      <w:pPr>
        <w:ind w:left="0" w:leftChars="0" w:right="0" w:rightChars="0" w:firstLine="640" w:firstLineChars="200"/>
        <w:jc w:val="left"/>
        <w:rPr>
          <w:rFonts w:hint="eastAsia" w:ascii="仿宋_GB2312" w:hAnsi="仿宋_GB2312" w:eastAsia="仿宋_GB2312"/>
          <w:sz w:val="32"/>
          <w:lang w:eastAsia="zh-CN"/>
        </w:rPr>
      </w:pPr>
      <w:r>
        <w:rPr>
          <w:rFonts w:hint="eastAsia" w:ascii="仿宋_GB2312" w:hAnsi="仿宋_GB2312" w:eastAsia="仿宋_GB2312"/>
          <w:sz w:val="32"/>
          <w:lang w:eastAsia="zh-CN"/>
        </w:rPr>
        <w:t>预算执行有偏差。由于我单位工作调整性较大，项目支出存在临时安排变动，在预算执行中造成个别预算项目调整现象。</w:t>
      </w:r>
    </w:p>
    <w:p w14:paraId="7A0F23EF">
      <w:pPr>
        <w:ind w:left="0" w:leftChars="0" w:right="0" w:rightChars="0" w:firstLine="640" w:firstLineChars="200"/>
        <w:jc w:val="left"/>
        <w:rPr>
          <w:rFonts w:hint="eastAsia" w:ascii="楷体_GB2312" w:hAnsi="楷体_GB2312" w:eastAsia="楷体_GB2312" w:cs="楷体_GB2312"/>
          <w:sz w:val="32"/>
          <w:lang w:eastAsia="zh-CN"/>
        </w:rPr>
      </w:pPr>
      <w:r>
        <w:rPr>
          <w:rFonts w:hint="eastAsia" w:ascii="楷体_GB2312" w:hAnsi="楷体_GB2312" w:eastAsia="楷体_GB2312" w:cs="楷体_GB2312"/>
          <w:sz w:val="32"/>
          <w:lang w:eastAsia="zh-CN"/>
        </w:rPr>
        <w:t>（二）管理效率分析</w:t>
      </w:r>
    </w:p>
    <w:p w14:paraId="18884D22">
      <w:pPr>
        <w:ind w:left="0" w:leftChars="0" w:right="0" w:rightChars="0" w:firstLine="640" w:firstLineChars="200"/>
        <w:jc w:val="left"/>
        <w:rPr>
          <w:rFonts w:hint="eastAsia" w:ascii="仿宋_GB2312" w:hAnsi="仿宋_GB2312" w:eastAsia="仿宋_GB2312"/>
          <w:sz w:val="32"/>
          <w:lang w:eastAsia="zh-CN"/>
        </w:rPr>
      </w:pPr>
      <w:r>
        <w:rPr>
          <w:rFonts w:hint="eastAsia" w:ascii="仿宋_GB2312" w:hAnsi="仿宋_GB2312" w:eastAsia="仿宋_GB2312"/>
          <w:sz w:val="32"/>
          <w:lang w:eastAsia="zh-CN"/>
        </w:rPr>
        <w:t>反映在预算编制、预算执行、信息公开、绩效管理、采购管理、资产管理、运行成本等方面的实施情况，分析存在问题和改进方向。</w:t>
      </w:r>
    </w:p>
    <w:p w14:paraId="0381716E">
      <w:pPr>
        <w:ind w:left="0" w:leftChars="0" w:right="0" w:rightChars="0" w:firstLine="640" w:firstLineChars="200"/>
        <w:jc w:val="left"/>
        <w:rPr>
          <w:rFonts w:hint="default" w:ascii="仿宋_GB2312" w:hAnsi="仿宋_GB2312" w:eastAsia="仿宋_GB2312"/>
          <w:sz w:val="32"/>
          <w:lang w:val="en-US" w:eastAsia="zh-CN"/>
        </w:rPr>
      </w:pPr>
      <w:r>
        <w:rPr>
          <w:rFonts w:hint="eastAsia" w:ascii="仿宋_GB2312" w:hAnsi="仿宋_GB2312" w:eastAsia="仿宋_GB2312"/>
          <w:sz w:val="32"/>
          <w:lang w:val="en-US" w:eastAsia="zh-CN"/>
        </w:rPr>
        <w:t>预算编制：2025年本部门收入预算174.48万元，比上年增加17.17万元，增长10.9%，主要原因是我单位项目经费增加，如上年专项资金结余结转项目2023年妇女小额贷款财政市贴息经费（始兴县）等；支出预算174.48万元，比上年增加17.17万元，增长10.9%，主要原因是我单位项目经费增加，如上年专项资金结余结转项目2023年妇女小额贷款财政市贴息经费（始兴县）等。 其中：一般公共预算拨款174.48万元，比上年增加17.17万元，其他各项收入0万元，比上年增加0万元。</w:t>
      </w:r>
    </w:p>
    <w:p w14:paraId="043B4240">
      <w:pPr>
        <w:ind w:left="0" w:leftChars="0" w:right="0" w:rightChars="0" w:firstLine="640" w:firstLineChars="200"/>
        <w:jc w:val="left"/>
        <w:rPr>
          <w:rFonts w:hint="eastAsia" w:ascii="仿宋_GB2312" w:hAnsi="仿宋_GB2312" w:eastAsia="仿宋_GB2312"/>
          <w:sz w:val="32"/>
          <w:lang w:eastAsia="zh-CN"/>
        </w:rPr>
      </w:pPr>
      <w:r>
        <w:rPr>
          <w:rFonts w:hint="eastAsia" w:ascii="仿宋_GB2312" w:hAnsi="仿宋_GB2312" w:eastAsia="仿宋_GB2312"/>
          <w:sz w:val="32"/>
          <w:lang w:eastAsia="zh-CN"/>
        </w:rPr>
        <w:t>预算执行：在资金实施方面，本会严格按照国家和地方政府的财务管理规定，规范使用各项资金，确保每一笔资金都能发挥最大的效益。同时，我们也加强了对资金使用情况的监督和管理，定期对资金使用情况进行审计和检查，确保资金使用的透明度和规范性。</w:t>
      </w:r>
    </w:p>
    <w:p w14:paraId="0457711A">
      <w:pPr>
        <w:ind w:left="0" w:leftChars="0" w:right="0" w:rightChars="0" w:firstLine="640" w:firstLineChars="200"/>
        <w:jc w:val="left"/>
        <w:rPr>
          <w:rFonts w:hint="eastAsia" w:ascii="仿宋_GB2312" w:hAnsi="仿宋_GB2312" w:eastAsia="仿宋_GB2312"/>
          <w:sz w:val="32"/>
          <w:lang w:eastAsia="zh-CN"/>
        </w:rPr>
      </w:pPr>
      <w:r>
        <w:rPr>
          <w:rFonts w:hint="eastAsia" w:ascii="仿宋_GB2312" w:hAnsi="仿宋_GB2312" w:eastAsia="仿宋_GB2312"/>
          <w:sz w:val="32"/>
          <w:lang w:eastAsia="zh-CN"/>
        </w:rPr>
        <w:t>资产管理：本年度配置资产总原值</w:t>
      </w:r>
      <w:r>
        <w:rPr>
          <w:rFonts w:hint="eastAsia" w:ascii="仿宋_GB2312" w:hAnsi="仿宋_GB2312" w:eastAsia="仿宋_GB2312"/>
          <w:sz w:val="32"/>
          <w:lang w:val="en-US" w:eastAsia="zh-CN"/>
        </w:rPr>
        <w:t>47.66</w:t>
      </w:r>
      <w:r>
        <w:rPr>
          <w:rFonts w:hint="eastAsia" w:ascii="仿宋_GB2312" w:hAnsi="仿宋_GB2312" w:eastAsia="仿宋_GB2312"/>
          <w:sz w:val="32"/>
          <w:lang w:eastAsia="zh-CN"/>
        </w:rPr>
        <w:t>万元，主要配置原因是：我单位购买了家具和办公设备。其中新购</w:t>
      </w:r>
      <w:r>
        <w:rPr>
          <w:rFonts w:hint="eastAsia" w:ascii="仿宋_GB2312" w:hAnsi="仿宋_GB2312" w:eastAsia="仿宋_GB2312"/>
          <w:sz w:val="32"/>
          <w:lang w:val="en-US" w:eastAsia="zh-CN"/>
        </w:rPr>
        <w:t>0.14</w:t>
      </w:r>
      <w:r>
        <w:rPr>
          <w:rFonts w:hint="eastAsia" w:ascii="仿宋_GB2312" w:hAnsi="仿宋_GB2312" w:eastAsia="仿宋_GB2312"/>
          <w:sz w:val="32"/>
          <w:lang w:eastAsia="zh-CN"/>
        </w:rPr>
        <w:t>万元，占配置资产的100%；调拨0万元，占配置资产的0%；接受捐赠0万元，占配置资产的0%；置换0万元，占配置资产的0%；其他0万元（主要是资产升值、价值变动、差错调整和盘盈），占配置资产的0%。</w:t>
      </w:r>
    </w:p>
    <w:p w14:paraId="326B579A">
      <w:pPr>
        <w:ind w:left="0" w:leftChars="0" w:right="0" w:rightChars="0" w:firstLine="640" w:firstLineChars="200"/>
        <w:jc w:val="left"/>
        <w:rPr>
          <w:rFonts w:hint="eastAsia" w:ascii="仿宋_GB2312" w:hAnsi="仿宋_GB2312" w:eastAsia="仿宋_GB2312"/>
          <w:sz w:val="32"/>
          <w:lang w:val="en-US" w:eastAsia="zh-CN"/>
        </w:rPr>
      </w:pPr>
      <w:r>
        <w:rPr>
          <w:rFonts w:hint="eastAsia" w:ascii="仿宋_GB2312" w:hAnsi="仿宋_GB2312" w:eastAsia="仿宋_GB2312"/>
          <w:sz w:val="32"/>
          <w:lang w:val="en-US" w:eastAsia="zh-CN"/>
        </w:rPr>
        <w:t>采购管理：专项资金实行预算管理。办公用房的建设和维修、公务用车的配备更新和运行、公共机构节能、后勤服务等项目资金和平台建设维护等各专项工作经费实行预算管理。由各部室根据业务工作开展的需要申报预算，经财务室初审汇总后按程序报领导审批。</w:t>
      </w:r>
    </w:p>
    <w:p w14:paraId="4829B1D1">
      <w:pPr>
        <w:ind w:left="0" w:leftChars="0" w:right="0" w:rightChars="0" w:firstLine="640" w:firstLineChars="200"/>
        <w:jc w:val="left"/>
        <w:rPr>
          <w:rFonts w:hint="default" w:ascii="仿宋_GB2312" w:hAnsi="仿宋_GB2312" w:eastAsia="仿宋_GB2312"/>
          <w:sz w:val="32"/>
          <w:lang w:val="en-US" w:eastAsia="zh-CN"/>
        </w:rPr>
      </w:pPr>
      <w:r>
        <w:rPr>
          <w:rFonts w:hint="eastAsia" w:ascii="仿宋_GB2312" w:hAnsi="仿宋_GB2312" w:eastAsia="仿宋_GB2312"/>
          <w:sz w:val="32"/>
          <w:lang w:val="en-US" w:eastAsia="zh-CN"/>
        </w:rPr>
        <w:t>完成情况：现已开展64场品牌活动，惠及1894组家庭，人数达3842余人次。三是特殊群体精准关爱。招募爱心妈妈508人，结对关爱留守儿童、困境儿童978人，开展集体关爱活动69场次，服务儿童1233名；深化“六一”慰问、双节送温暖等活动，走访16名困难儿童并送去慰问物资，建立精准帮扶机制。</w:t>
      </w:r>
    </w:p>
    <w:p w14:paraId="57FBE8E5">
      <w:pPr>
        <w:numPr>
          <w:ilvl w:val="0"/>
          <w:numId w:val="3"/>
        </w:numPr>
        <w:ind w:left="0" w:leftChars="0" w:right="0" w:rightChars="0" w:firstLine="640" w:firstLineChars="200"/>
        <w:jc w:val="left"/>
        <w:rPr>
          <w:rFonts w:hint="eastAsia" w:ascii="楷体_GB2312" w:hAnsi="楷体_GB2312" w:eastAsia="楷体_GB2312" w:cs="楷体_GB2312"/>
          <w:sz w:val="32"/>
        </w:rPr>
      </w:pPr>
      <w:r>
        <w:rPr>
          <w:rFonts w:hint="eastAsia" w:ascii="楷体_GB2312" w:hAnsi="楷体_GB2312" w:eastAsia="楷体_GB2312" w:cs="楷体_GB2312"/>
          <w:sz w:val="32"/>
        </w:rPr>
        <w:t>自评结论</w:t>
      </w:r>
    </w:p>
    <w:p w14:paraId="56CDECA2">
      <w:pPr>
        <w:numPr>
          <w:ilvl w:val="0"/>
          <w:numId w:val="0"/>
        </w:numPr>
        <w:ind w:right="0" w:rightChars="0" w:firstLine="640" w:firstLineChars="200"/>
        <w:jc w:val="left"/>
        <w:rPr>
          <w:rFonts w:hint="eastAsia" w:ascii="仿宋_GB2312" w:eastAsia="仿宋_GB2312"/>
          <w:sz w:val="32"/>
          <w:szCs w:val="32"/>
          <w:lang w:eastAsia="zh-CN"/>
        </w:rPr>
      </w:pPr>
      <w:r>
        <w:rPr>
          <w:rFonts w:hint="eastAsia" w:ascii="仿宋_GB2312" w:eastAsia="仿宋_GB2312"/>
          <w:sz w:val="32"/>
          <w:szCs w:val="32"/>
        </w:rPr>
        <w:t>工作成果：经过全体工作人员的共同努力，本会在各方面都取得了显著的成绩。在促进妇女就业方面，我们成功举办了多场招聘会，为大量妇女提供了就业机会；在保障妇女权益方面，我们积极参与相关法律法规的制定和修改工作，为妇女维权提供了法律支持；在提升妇女素质方面，我们组织开展了各类培训活动，提高了妇女的综合素质和竞争力</w:t>
      </w:r>
      <w:r>
        <w:rPr>
          <w:rFonts w:hint="eastAsia" w:ascii="仿宋_GB2312" w:eastAsia="仿宋_GB2312"/>
          <w:sz w:val="32"/>
          <w:szCs w:val="32"/>
          <w:lang w:eastAsia="zh-CN"/>
        </w:rPr>
        <w:t>。一是小额贷款精准助力。构建“政府主导、妇联负责、多方协作”的工作机制，联动财政、金融等部门，优化贷款审核流程与回访制度。2025年成功为23户妇女发放小额贷款，共发放贷款250万元，有效破解妇女创业“资金瓶颈”，通过线上线下多渠道宣传政策及创业典型，扩大政策知晓率。二是绿美始兴建设提质。组建“童”行志愿队开展植树活动127次，参与人数1856人，种植巾帼林、家庭林、亲子林117片；建设20处庭院绿美示范点，发展庭院经济35处，涵盖农庄、民宿、电商等多元业态；拍摄发布《美丽庭院-转角遇见美》《儿童友好绿美童行》宣传视频2个，开展“四季村晚”“戏曲进乡村”巡演17场次，开展“美丽庭院”图片展活动11场次，激发全民参与建设宜居宜业和美乡村、绿美始兴的热情。三是技能培训与就业支持。县妇联根据妇女的实际情况，精心设计了内容丰富的灵活就业培训项目，涵盖家政服务、电商技能、短视频制作、非遗刺绣等多个实用领域，助力解决妇女就业问题，着力满足妇女群体日常生活所需。</w:t>
      </w:r>
    </w:p>
    <w:p w14:paraId="40880A8A">
      <w:pPr>
        <w:numPr>
          <w:ilvl w:val="0"/>
          <w:numId w:val="0"/>
        </w:numPr>
        <w:ind w:right="0" w:rightChars="0" w:firstLine="640" w:firstLineChars="200"/>
        <w:jc w:val="left"/>
        <w:rPr>
          <w:rFonts w:hint="eastAsia" w:ascii="仿宋_GB2312" w:hAnsi="仿宋_GB2312" w:eastAsia="仿宋_GB2312"/>
          <w:sz w:val="32"/>
          <w:lang w:eastAsia="zh-CN"/>
        </w:rPr>
      </w:pPr>
      <w:r>
        <w:rPr>
          <w:rFonts w:hint="eastAsia" w:ascii="仿宋_GB2312" w:eastAsia="仿宋_GB2312"/>
          <w:sz w:val="32"/>
          <w:szCs w:val="32"/>
        </w:rPr>
        <w:t>本单位202</w:t>
      </w:r>
      <w:r>
        <w:rPr>
          <w:rFonts w:hint="eastAsia" w:ascii="仿宋_GB2312" w:eastAsia="仿宋_GB2312"/>
          <w:sz w:val="32"/>
          <w:szCs w:val="32"/>
          <w:lang w:val="en-US" w:eastAsia="zh-CN"/>
        </w:rPr>
        <w:t>5</w:t>
      </w:r>
      <w:r>
        <w:rPr>
          <w:rFonts w:hint="eastAsia" w:ascii="仿宋_GB2312" w:eastAsia="仿宋_GB2312"/>
          <w:sz w:val="32"/>
          <w:szCs w:val="32"/>
        </w:rPr>
        <w:t>年度评价得分为9</w:t>
      </w:r>
      <w:r>
        <w:rPr>
          <w:rFonts w:hint="eastAsia" w:ascii="仿宋_GB2312" w:eastAsia="仿宋_GB2312"/>
          <w:sz w:val="32"/>
          <w:szCs w:val="32"/>
          <w:lang w:val="en-US" w:eastAsia="zh-CN"/>
        </w:rPr>
        <w:t>8</w:t>
      </w:r>
      <w:r>
        <w:rPr>
          <w:rFonts w:hint="eastAsia" w:ascii="仿宋_GB2312" w:eastAsia="仿宋_GB2312"/>
          <w:sz w:val="32"/>
          <w:szCs w:val="32"/>
        </w:rPr>
        <w:t>分，自我评价：优。</w:t>
      </w:r>
    </w:p>
    <w:p w14:paraId="6F1DA87D">
      <w:pPr>
        <w:numPr>
          <w:ilvl w:val="0"/>
          <w:numId w:val="4"/>
        </w:numPr>
        <w:ind w:left="0" w:leftChars="0" w:right="0" w:rightChars="0" w:firstLine="640" w:firstLineChars="200"/>
        <w:jc w:val="left"/>
        <w:rPr>
          <w:rFonts w:hint="eastAsia" w:ascii="黑体" w:hAnsi="黑体" w:eastAsia="黑体"/>
          <w:sz w:val="32"/>
        </w:rPr>
      </w:pPr>
      <w:r>
        <w:rPr>
          <w:rFonts w:hint="eastAsia" w:ascii="黑体" w:hAnsi="黑体" w:eastAsia="黑体"/>
          <w:sz w:val="32"/>
        </w:rPr>
        <w:t>存在问题及改进意见</w:t>
      </w:r>
    </w:p>
    <w:p w14:paraId="2EB9B4CC">
      <w:pPr>
        <w:numPr>
          <w:ilvl w:val="0"/>
          <w:numId w:val="0"/>
        </w:numPr>
        <w:ind w:right="0" w:rightChars="0" w:firstLine="640" w:firstLineChars="200"/>
        <w:jc w:val="left"/>
        <w:rPr>
          <w:rFonts w:hint="eastAsia" w:ascii="仿宋_GB2312" w:hAnsi="仿宋_GB2312" w:eastAsia="仿宋_GB2312" w:cs="仿宋_GB2312"/>
          <w:sz w:val="32"/>
          <w:lang w:eastAsia="zh-CN"/>
        </w:rPr>
      </w:pPr>
      <w:r>
        <w:rPr>
          <w:rFonts w:hint="eastAsia" w:ascii="仿宋_GB2312" w:hAnsi="仿宋_GB2312" w:eastAsia="仿宋_GB2312" w:cs="仿宋_GB2312"/>
          <w:sz w:val="32"/>
        </w:rPr>
        <w:t>就部门整体支出绩效管理存在问题</w:t>
      </w:r>
      <w:r>
        <w:rPr>
          <w:rFonts w:hint="eastAsia" w:ascii="仿宋_GB2312" w:hAnsi="仿宋_GB2312" w:eastAsia="仿宋_GB2312" w:cs="仿宋_GB2312"/>
          <w:sz w:val="32"/>
          <w:lang w:eastAsia="zh-CN"/>
        </w:rPr>
        <w:t>进行分析，</w:t>
      </w:r>
      <w:r>
        <w:rPr>
          <w:rFonts w:hint="eastAsia" w:ascii="仿宋_GB2312" w:hAnsi="仿宋_GB2312" w:eastAsia="仿宋_GB2312" w:cs="仿宋_GB2312"/>
          <w:sz w:val="32"/>
        </w:rPr>
        <w:t>提出改进措施</w:t>
      </w:r>
      <w:r>
        <w:rPr>
          <w:rFonts w:hint="eastAsia" w:ascii="仿宋_GB2312" w:hAnsi="仿宋_GB2312" w:eastAsia="仿宋_GB2312" w:cs="仿宋_GB2312"/>
          <w:sz w:val="32"/>
          <w:lang w:eastAsia="zh-CN"/>
        </w:rPr>
        <w:t>。</w:t>
      </w:r>
    </w:p>
    <w:p w14:paraId="4223599E">
      <w:pPr>
        <w:numPr>
          <w:ilvl w:val="0"/>
          <w:numId w:val="0"/>
        </w:numPr>
        <w:ind w:right="0" w:rightChars="0" w:firstLine="640" w:firstLineChars="200"/>
        <w:jc w:val="left"/>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1. 存在问题：虽然202</w:t>
      </w:r>
      <w:r>
        <w:rPr>
          <w:rFonts w:hint="eastAsia" w:ascii="仿宋_GB2312" w:hAnsi="仿宋_GB2312" w:eastAsia="仿宋_GB2312" w:cs="仿宋_GB2312"/>
          <w:sz w:val="32"/>
          <w:lang w:val="en-US" w:eastAsia="zh-CN"/>
        </w:rPr>
        <w:t>5</w:t>
      </w:r>
      <w:r>
        <w:rPr>
          <w:rFonts w:hint="eastAsia" w:ascii="仿宋_GB2312" w:hAnsi="仿宋_GB2312" w:eastAsia="仿宋_GB2312" w:cs="仿宋_GB2312"/>
          <w:sz w:val="32"/>
          <w:lang w:eastAsia="zh-CN"/>
        </w:rPr>
        <w:t>年取得一些成绩，但离上级要求还存在一定差距。一是妇联工作创新意识不够强，工作方式方法有待进一步改进。二是妇联干部队伍的综合素质和业务能力还需进一步提高。三是服务妇女儿童的手段和渠道还不够丰富，需要进一步拓展。</w:t>
      </w:r>
    </w:p>
    <w:p w14:paraId="0952094A">
      <w:pPr>
        <w:numPr>
          <w:ilvl w:val="0"/>
          <w:numId w:val="0"/>
        </w:numPr>
        <w:ind w:right="0" w:rightChars="0" w:firstLine="640" w:firstLineChars="200"/>
        <w:jc w:val="left"/>
        <w:rPr>
          <w:rFonts w:hint="eastAsia" w:ascii="仿宋_GB2312" w:hAnsi="仿宋_GB2312" w:eastAsia="仿宋_GB2312" w:cs="仿宋_GB2312"/>
          <w:sz w:val="32"/>
          <w:lang w:eastAsia="zh-CN"/>
        </w:rPr>
      </w:pPr>
      <w:r>
        <w:rPr>
          <w:rFonts w:hint="eastAsia" w:ascii="仿宋_GB2312" w:hAnsi="仿宋_GB2312" w:eastAsia="仿宋_GB2312" w:cs="仿宋_GB2312"/>
          <w:sz w:val="32"/>
          <w:lang w:eastAsia="zh-CN"/>
        </w:rPr>
        <w:t>2. 改进措施：针对上述问题，我们将采取以下措施进行改进。首先，加强工作人员的培训和学习，提高其业务能力和素质；其次，加大工作项目的推进力度，确保各项任务能够按时完成；最后，加强与服务对象的沟通和交流，了解其需求和期望，不断提高服务质量和服务水平。助力乡村振兴，推动妇女创业。继续加强南粤家政和农村电商的培训力度，推进广东省妇女创业小额担保贷款贴息项目，助力妇女就业创业。同时加强与企业的合作，培育“妈妈岗”和巾帼创业基地，为妇女拓展就业机会。</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FangSong.GB2312">
    <w:altName w:val="宋体"/>
    <w:panose1 w:val="00000000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4D570">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A16219A">
                          <w:pPr>
                            <w:pStyle w:val="2"/>
                            <w:rPr>
                              <w:rFonts w:hint="eastAsia" w:ascii="仿宋_GB2312" w:hAnsi="仿宋_GB2312" w:eastAsia="仿宋_GB2312" w:cs="仿宋_GB2312"/>
                              <w:sz w:val="28"/>
                              <w:szCs w:val="32"/>
                            </w:rPr>
                          </w:pPr>
                          <w:r>
                            <w:rPr>
                              <w:rFonts w:hint="eastAsia" w:ascii="仿宋_GB2312" w:hAnsi="仿宋_GB2312" w:eastAsia="仿宋_GB2312" w:cs="仿宋_GB2312"/>
                              <w:sz w:val="28"/>
                              <w:szCs w:val="32"/>
                            </w:rPr>
                            <w:t xml:space="preserve">— </w:t>
                          </w:r>
                          <w:r>
                            <w:rPr>
                              <w:rFonts w:hint="eastAsia" w:ascii="仿宋_GB2312" w:hAnsi="仿宋_GB2312" w:eastAsia="仿宋_GB2312" w:cs="仿宋_GB2312"/>
                              <w:sz w:val="28"/>
                              <w:szCs w:val="32"/>
                            </w:rPr>
                            <w:fldChar w:fldCharType="begin"/>
                          </w:r>
                          <w:r>
                            <w:rPr>
                              <w:rFonts w:hint="eastAsia" w:ascii="仿宋_GB2312" w:hAnsi="仿宋_GB2312" w:eastAsia="仿宋_GB2312" w:cs="仿宋_GB2312"/>
                              <w:sz w:val="28"/>
                              <w:szCs w:val="32"/>
                            </w:rPr>
                            <w:instrText xml:space="preserve"> PAGE  \* MERGEFORMAT </w:instrText>
                          </w:r>
                          <w:r>
                            <w:rPr>
                              <w:rFonts w:hint="eastAsia" w:ascii="仿宋_GB2312" w:hAnsi="仿宋_GB2312" w:eastAsia="仿宋_GB2312" w:cs="仿宋_GB2312"/>
                              <w:sz w:val="28"/>
                              <w:szCs w:val="32"/>
                            </w:rPr>
                            <w:fldChar w:fldCharType="separate"/>
                          </w:r>
                          <w:r>
                            <w:rPr>
                              <w:rFonts w:hint="eastAsia" w:ascii="仿宋_GB2312" w:hAnsi="仿宋_GB2312" w:eastAsia="仿宋_GB2312" w:cs="仿宋_GB2312"/>
                              <w:sz w:val="28"/>
                              <w:szCs w:val="32"/>
                            </w:rPr>
                            <w:t>1</w:t>
                          </w:r>
                          <w:r>
                            <w:rPr>
                              <w:rFonts w:hint="eastAsia" w:ascii="仿宋_GB2312" w:hAnsi="仿宋_GB2312" w:eastAsia="仿宋_GB2312" w:cs="仿宋_GB2312"/>
                              <w:sz w:val="28"/>
                              <w:szCs w:val="32"/>
                            </w:rPr>
                            <w:fldChar w:fldCharType="end"/>
                          </w:r>
                          <w:r>
                            <w:rPr>
                              <w:rFonts w:hint="eastAsia" w:ascii="仿宋_GB2312" w:hAnsi="仿宋_GB2312" w:eastAsia="仿宋_GB2312" w:cs="仿宋_GB2312"/>
                              <w:sz w:val="28"/>
                              <w:szCs w:val="32"/>
                            </w:rPr>
                            <w:t xml:space="preserve"> —</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6A16219A">
                    <w:pPr>
                      <w:pStyle w:val="2"/>
                      <w:rPr>
                        <w:rFonts w:hint="eastAsia" w:ascii="仿宋_GB2312" w:hAnsi="仿宋_GB2312" w:eastAsia="仿宋_GB2312" w:cs="仿宋_GB2312"/>
                        <w:sz w:val="28"/>
                        <w:szCs w:val="32"/>
                      </w:rPr>
                    </w:pPr>
                    <w:r>
                      <w:rPr>
                        <w:rFonts w:hint="eastAsia" w:ascii="仿宋_GB2312" w:hAnsi="仿宋_GB2312" w:eastAsia="仿宋_GB2312" w:cs="仿宋_GB2312"/>
                        <w:sz w:val="28"/>
                        <w:szCs w:val="32"/>
                      </w:rPr>
                      <w:t xml:space="preserve">— </w:t>
                    </w:r>
                    <w:r>
                      <w:rPr>
                        <w:rFonts w:hint="eastAsia" w:ascii="仿宋_GB2312" w:hAnsi="仿宋_GB2312" w:eastAsia="仿宋_GB2312" w:cs="仿宋_GB2312"/>
                        <w:sz w:val="28"/>
                        <w:szCs w:val="32"/>
                      </w:rPr>
                      <w:fldChar w:fldCharType="begin"/>
                    </w:r>
                    <w:r>
                      <w:rPr>
                        <w:rFonts w:hint="eastAsia" w:ascii="仿宋_GB2312" w:hAnsi="仿宋_GB2312" w:eastAsia="仿宋_GB2312" w:cs="仿宋_GB2312"/>
                        <w:sz w:val="28"/>
                        <w:szCs w:val="32"/>
                      </w:rPr>
                      <w:instrText xml:space="preserve"> PAGE  \* MERGEFORMAT </w:instrText>
                    </w:r>
                    <w:r>
                      <w:rPr>
                        <w:rFonts w:hint="eastAsia" w:ascii="仿宋_GB2312" w:hAnsi="仿宋_GB2312" w:eastAsia="仿宋_GB2312" w:cs="仿宋_GB2312"/>
                        <w:sz w:val="28"/>
                        <w:szCs w:val="32"/>
                      </w:rPr>
                      <w:fldChar w:fldCharType="separate"/>
                    </w:r>
                    <w:r>
                      <w:rPr>
                        <w:rFonts w:hint="eastAsia" w:ascii="仿宋_GB2312" w:hAnsi="仿宋_GB2312" w:eastAsia="仿宋_GB2312" w:cs="仿宋_GB2312"/>
                        <w:sz w:val="28"/>
                        <w:szCs w:val="32"/>
                      </w:rPr>
                      <w:t>1</w:t>
                    </w:r>
                    <w:r>
                      <w:rPr>
                        <w:rFonts w:hint="eastAsia" w:ascii="仿宋_GB2312" w:hAnsi="仿宋_GB2312" w:eastAsia="仿宋_GB2312" w:cs="仿宋_GB2312"/>
                        <w:sz w:val="28"/>
                        <w:szCs w:val="32"/>
                      </w:rPr>
                      <w:fldChar w:fldCharType="end"/>
                    </w:r>
                    <w:r>
                      <w:rPr>
                        <w:rFonts w:hint="eastAsia" w:ascii="仿宋_GB2312" w:hAnsi="仿宋_GB2312" w:eastAsia="仿宋_GB2312" w:cs="仿宋_GB2312"/>
                        <w:sz w:val="28"/>
                        <w:szCs w:val="32"/>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296227"/>
    <w:multiLevelType w:val="singleLevel"/>
    <w:tmpl w:val="FB296227"/>
    <w:lvl w:ilvl="0" w:tentative="0">
      <w:start w:val="3"/>
      <w:numFmt w:val="chineseCounting"/>
      <w:suff w:val="nothing"/>
      <w:lvlText w:val="%1、"/>
      <w:lvlJc w:val="left"/>
      <w:rPr>
        <w:rFonts w:hint="eastAsia"/>
      </w:rPr>
    </w:lvl>
  </w:abstractNum>
  <w:abstractNum w:abstractNumId="1">
    <w:nsid w:val="34488C97"/>
    <w:multiLevelType w:val="singleLevel"/>
    <w:tmpl w:val="34488C97"/>
    <w:lvl w:ilvl="0" w:tentative="0">
      <w:start w:val="1"/>
      <w:numFmt w:val="chineseCounting"/>
      <w:suff w:val="nothing"/>
      <w:lvlText w:val="（%1）"/>
      <w:lvlJc w:val="left"/>
      <w:rPr>
        <w:rFonts w:hint="eastAsia"/>
      </w:rPr>
    </w:lvl>
  </w:abstractNum>
  <w:abstractNum w:abstractNumId="2">
    <w:nsid w:val="54674078"/>
    <w:multiLevelType w:val="singleLevel"/>
    <w:tmpl w:val="54674078"/>
    <w:lvl w:ilvl="0" w:tentative="0">
      <w:start w:val="1"/>
      <w:numFmt w:val="decimal"/>
      <w:suff w:val="nothing"/>
      <w:lvlText w:val="%1、"/>
      <w:lvlJc w:val="left"/>
    </w:lvl>
  </w:abstractNum>
  <w:abstractNum w:abstractNumId="3">
    <w:nsid w:val="7289AB2E"/>
    <w:multiLevelType w:val="singleLevel"/>
    <w:tmpl w:val="7289AB2E"/>
    <w:lvl w:ilvl="0" w:tentative="0">
      <w:start w:val="3"/>
      <w:numFmt w:val="chineseCounting"/>
      <w:suff w:val="nothing"/>
      <w:lvlText w:val="（%1）"/>
      <w:lvlJc w:val="left"/>
      <w:rPr>
        <w:rFonts w:hint="eastAsi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5MGQyODJjNmQ3OThlZThiNDA3NmRmMzIzY2RjYjMifQ=="/>
  </w:docVars>
  <w:rsids>
    <w:rsidRoot w:val="00172A27"/>
    <w:rsid w:val="08656C1B"/>
    <w:rsid w:val="10BB33AB"/>
    <w:rsid w:val="121B0F9A"/>
    <w:rsid w:val="124F46F3"/>
    <w:rsid w:val="19B07ACE"/>
    <w:rsid w:val="31B04B94"/>
    <w:rsid w:val="38FE7A29"/>
    <w:rsid w:val="3D987913"/>
    <w:rsid w:val="41E128A5"/>
    <w:rsid w:val="46326F64"/>
    <w:rsid w:val="467320EF"/>
    <w:rsid w:val="46F774D3"/>
    <w:rsid w:val="5DF72B16"/>
    <w:rsid w:val="620204A2"/>
    <w:rsid w:val="69790883"/>
    <w:rsid w:val="6982207F"/>
    <w:rsid w:val="6A974471"/>
    <w:rsid w:val="6C2B2226"/>
    <w:rsid w:val="6E971080"/>
    <w:rsid w:val="7DD00F61"/>
    <w:rsid w:val="7FA3273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rPr>
  </w:style>
  <w:style w:type="character" w:default="1" w:styleId="5">
    <w:name w:val="Default Paragraph Font"/>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6">
    <w:name w:val="正文 New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7">
    <w:name w:val="Normal New New New New"/>
    <w:qFormat/>
    <w:uiPriority w:val="0"/>
    <w:pPr>
      <w:jc w:val="both"/>
    </w:pPr>
    <w:rPr>
      <w:rFonts w:ascii="Times New Roman" w:hAnsi="Times New Roman" w:eastAsia="宋体" w:cs="Times New Roman"/>
      <w:kern w:val="2"/>
      <w:sz w:val="21"/>
    </w:rPr>
  </w:style>
  <w:style w:type="paragraph" w:customStyle="1" w:styleId="8">
    <w:name w:val="Normal New New New"/>
    <w:qFormat/>
    <w:uiPriority w:val="0"/>
    <w:pPr>
      <w:jc w:val="both"/>
    </w:pPr>
    <w:rPr>
      <w:rFonts w:ascii="Times New Roman" w:hAnsi="Times New Roman" w:eastAsia="宋体" w:cs="Times New Roman"/>
      <w:kern w:val="2"/>
      <w:sz w:val="21"/>
    </w:rPr>
  </w:style>
  <w:style w:type="paragraph" w:customStyle="1" w:styleId="9">
    <w:name w:val="Normal New New"/>
    <w:qFormat/>
    <w:uiPriority w:val="0"/>
    <w:pPr>
      <w:jc w:val="both"/>
    </w:pPr>
    <w:rPr>
      <w:rFonts w:ascii="Times New Roman" w:hAnsi="Times New Roman" w:eastAsia="宋体" w:cs="Times New Roman"/>
      <w:kern w:val="2"/>
      <w:sz w:val="21"/>
    </w:rPr>
  </w:style>
  <w:style w:type="paragraph" w:customStyle="1" w:styleId="10">
    <w:name w:val="Normal New"/>
    <w:qFormat/>
    <w:uiPriority w:val="0"/>
    <w:pPr>
      <w:jc w:val="both"/>
    </w:pPr>
    <w:rPr>
      <w:rFonts w:ascii="Times New Roman" w:hAnsi="Times New Roman" w:eastAsia="宋体" w:cs="Times New Roman"/>
      <w:kern w:val="2"/>
      <w:sz w:val="21"/>
    </w:rPr>
  </w:style>
  <w:style w:type="paragraph" w:customStyle="1" w:styleId="11">
    <w:name w:val="Normal New New New New New New"/>
    <w:uiPriority w:val="0"/>
    <w:pPr>
      <w:jc w:val="both"/>
    </w:pPr>
    <w:rPr>
      <w:rFonts w:ascii="Times New Roman" w:hAnsi="Times New Roman" w:eastAsia="宋体" w:cs="Times New Roman"/>
      <w:kern w:val="2"/>
      <w:sz w:val="21"/>
    </w:rPr>
  </w:style>
  <w:style w:type="paragraph" w:customStyle="1" w:styleId="12">
    <w:name w:val="正文 New New New"/>
    <w:uiPriority w:val="0"/>
    <w:pPr>
      <w:widowControl w:val="0"/>
      <w:jc w:val="both"/>
    </w:pPr>
    <w:rPr>
      <w:rFonts w:ascii="Times New Roman" w:hAnsi="Times New Roman" w:eastAsia="宋体" w:cs="Times New Roman"/>
      <w:kern w:val="2"/>
      <w:sz w:val="21"/>
      <w:szCs w:val="24"/>
      <w:lang w:val="en-US" w:eastAsia="zh-CN"/>
    </w:rPr>
  </w:style>
  <w:style w:type="paragraph" w:customStyle="1" w:styleId="13">
    <w:name w:val="正文 New New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4">
    <w:name w:val="正文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5">
    <w:name w:val="正文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6">
    <w:name w:val="正文 New New New New New New"/>
    <w:qFormat/>
    <w:uiPriority w:val="0"/>
    <w:pPr>
      <w:widowControl w:val="0"/>
      <w:jc w:val="both"/>
    </w:pPr>
    <w:rPr>
      <w:rFonts w:ascii="Times New Roman" w:hAnsi="Times New Roman" w:eastAsia="宋体" w:cs="Times New Roman"/>
      <w:kern w:val="2"/>
      <w:sz w:val="21"/>
      <w:szCs w:val="24"/>
      <w:lang w:val="en-US" w:eastAsia="zh-CN"/>
    </w:rPr>
  </w:style>
  <w:style w:type="paragraph" w:customStyle="1" w:styleId="17">
    <w:name w:val="Normal New New New New New"/>
    <w:qFormat/>
    <w:uiPriority w:val="0"/>
    <w:pPr>
      <w:jc w:val="both"/>
    </w:pPr>
    <w:rPr>
      <w:rFonts w:ascii="Times New Roman" w:hAnsi="Times New Roman" w:eastAsia="宋体" w:cs="Times New Roman"/>
      <w:kern w:val="2"/>
      <w:sz w:val="21"/>
    </w:rPr>
  </w:style>
  <w:style w:type="paragraph" w:customStyle="1" w:styleId="18">
    <w:name w:val="Normal"/>
    <w:qFormat/>
    <w:uiPriority w:val="0"/>
    <w:pPr>
      <w:jc w:val="both"/>
    </w:pPr>
    <w:rPr>
      <w:rFonts w:ascii="Times New Roman" w:hAnsi="Times New Roman" w:eastAsia="宋体" w:cs="Times New Roman"/>
      <w:kern w:val="2"/>
      <w:sz w:val="21"/>
    </w:rPr>
  </w:style>
  <w:style w:type="paragraph" w:customStyle="1" w:styleId="19">
    <w:name w:val="正文 New New New New New New New"/>
    <w:qFormat/>
    <w:uiPriority w:val="0"/>
    <w:pPr>
      <w:widowControl w:val="0"/>
      <w:jc w:val="both"/>
    </w:pPr>
    <w:rPr>
      <w:rFonts w:ascii="Times New Roman" w:hAnsi="Times New Roman" w:eastAsia="宋体" w:cs="Times New Roman"/>
      <w:kern w:val="2"/>
      <w:sz w:val="21"/>
      <w:szCs w:val="24"/>
      <w:lang w:val="en-US"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20(x86)\Kingsoft\WPS%20Office\12.1.0.17147\office6\Normal.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Normal.wpt</Template>
  <Pages>8</Pages>
  <Words>2744</Words>
  <Characters>2964</Characters>
  <Lines>0</Lines>
  <Paragraphs>0</Paragraphs>
  <TotalTime>937</TotalTime>
  <ScaleCrop>false</ScaleCrop>
  <LinksUpToDate>false</LinksUpToDate>
  <CharactersWithSpaces>3000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2011-09-13T11:13:00Z</dcterms:created>
  <dc:creator>Tian</dc:creator>
  <cp:lastModifiedBy>WPS_1741261096</cp:lastModifiedBy>
  <cp:lastPrinted>2019-07-01T00:12:00Z</cp:lastPrinted>
  <dcterms:modified xsi:type="dcterms:W3CDTF">2026-06-26T08:36:06Z</dcterms:modified>
  <dc:title>附件3</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83459919ECBC4C498C54E9916A089371_13</vt:lpwstr>
  </property>
  <property fmtid="{D5CDD505-2E9C-101B-9397-08002B2CF9AE}" pid="4" name="KSOTemplateDocerSaveRecord">
    <vt:lpwstr>eyJoZGlkIjoiOGE5MGQyODJjNmQ3OThlZThiNDA3NmRmMzIzY2RjYjMiLCJ1c2VySWQiOiIxNjg0ODE0MTI4In0=</vt:lpwstr>
  </property>
</Properties>
</file>