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4DB7FAF">
      <w:pPr>
        <w:pStyle w:val="18"/>
        <w:widowControl w:val="0"/>
        <w:autoSpaceDE w:val="0"/>
        <w:autoSpaceDN w:val="0"/>
        <w:rPr>
          <w:rFonts w:hint="eastAsia" w:ascii="黑体" w:hAnsi="黑体" w:eastAsia="黑体"/>
          <w:sz w:val="32"/>
          <w:lang w:val="en-US" w:eastAsia="zh-CN"/>
        </w:rPr>
      </w:pPr>
      <w:r>
        <w:rPr>
          <w:rFonts w:hint="eastAsia" w:ascii="黑体" w:hAnsi="黑体" w:eastAsia="黑体"/>
          <w:sz w:val="32"/>
        </w:rPr>
        <w:t>附件</w:t>
      </w:r>
      <w:r>
        <w:rPr>
          <w:rFonts w:hint="eastAsia" w:ascii="黑体" w:hAnsi="黑体" w:eastAsia="黑体"/>
          <w:sz w:val="32"/>
          <w:lang w:val="en-US" w:eastAsia="zh-CN"/>
        </w:rPr>
        <w:t>3</w:t>
      </w:r>
    </w:p>
    <w:p w14:paraId="585981F7">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022DBBE4">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6B459EEB">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0E20BA66">
      <w:pPr>
        <w:pStyle w:val="18"/>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部门整体支出绩效自评报告</w:t>
      </w:r>
    </w:p>
    <w:p w14:paraId="495BBB84">
      <w:pPr>
        <w:pStyle w:val="18"/>
        <w:widowControl w:val="0"/>
        <w:autoSpaceDE w:val="0"/>
        <w:autoSpaceDN w:val="0"/>
        <w:ind w:left="0" w:leftChars="0" w:right="0" w:rightChars="0" w:firstLine="0" w:firstLineChars="0"/>
        <w:jc w:val="center"/>
        <w:rPr>
          <w:rFonts w:hint="eastAsia" w:ascii="宋体" w:hAnsi="宋体" w:eastAsia="宋体"/>
          <w:sz w:val="36"/>
        </w:rPr>
      </w:pPr>
    </w:p>
    <w:p w14:paraId="7F36671C">
      <w:pPr>
        <w:pStyle w:val="18"/>
        <w:widowControl w:val="0"/>
        <w:autoSpaceDE w:val="0"/>
        <w:autoSpaceDN w:val="0"/>
        <w:ind w:left="0" w:leftChars="0" w:right="0" w:rightChars="0" w:firstLine="0" w:firstLineChars="0"/>
        <w:jc w:val="center"/>
        <w:rPr>
          <w:rFonts w:hint="eastAsia" w:ascii="宋体" w:hAnsi="宋体" w:eastAsia="宋体"/>
          <w:sz w:val="36"/>
        </w:rPr>
      </w:pPr>
    </w:p>
    <w:p w14:paraId="434683B0">
      <w:pPr>
        <w:pStyle w:val="18"/>
        <w:widowControl w:val="0"/>
        <w:autoSpaceDE w:val="0"/>
        <w:autoSpaceDN w:val="0"/>
        <w:ind w:left="0" w:leftChars="0" w:right="0" w:rightChars="0" w:firstLine="0" w:firstLineChars="0"/>
        <w:jc w:val="center"/>
        <w:rPr>
          <w:rFonts w:hint="eastAsia" w:ascii="宋体" w:hAnsi="宋体" w:eastAsia="宋体"/>
          <w:sz w:val="36"/>
        </w:rPr>
      </w:pPr>
    </w:p>
    <w:p w14:paraId="3DF08E71">
      <w:pPr>
        <w:pStyle w:val="18"/>
        <w:widowControl w:val="0"/>
        <w:autoSpaceDE w:val="0"/>
        <w:autoSpaceDN w:val="0"/>
        <w:ind w:left="0" w:leftChars="0" w:right="0" w:rightChars="0" w:firstLine="0" w:firstLineChars="0"/>
        <w:jc w:val="center"/>
        <w:rPr>
          <w:rFonts w:hint="eastAsia" w:ascii="宋体" w:hAnsi="宋体" w:eastAsia="宋体"/>
          <w:sz w:val="36"/>
        </w:rPr>
      </w:pPr>
    </w:p>
    <w:p w14:paraId="5E418FCE">
      <w:pPr>
        <w:pStyle w:val="18"/>
        <w:widowControl w:val="0"/>
        <w:autoSpaceDE w:val="0"/>
        <w:autoSpaceDN w:val="0"/>
        <w:ind w:left="0" w:leftChars="0" w:right="0" w:rightChars="0" w:firstLine="0" w:firstLineChars="0"/>
        <w:jc w:val="center"/>
        <w:rPr>
          <w:rFonts w:hint="eastAsia" w:ascii="宋体" w:hAnsi="宋体" w:eastAsia="宋体"/>
          <w:sz w:val="36"/>
        </w:rPr>
      </w:pPr>
    </w:p>
    <w:p w14:paraId="051AF31A">
      <w:pPr>
        <w:pStyle w:val="18"/>
        <w:widowControl w:val="0"/>
        <w:autoSpaceDE w:val="0"/>
        <w:autoSpaceDN w:val="0"/>
        <w:ind w:left="0" w:leftChars="0" w:right="0" w:rightChars="0" w:firstLine="0" w:firstLineChars="0"/>
        <w:jc w:val="center"/>
        <w:rPr>
          <w:rFonts w:hint="eastAsia" w:ascii="宋体" w:hAnsi="宋体" w:eastAsia="宋体"/>
          <w:sz w:val="36"/>
        </w:rPr>
      </w:pPr>
    </w:p>
    <w:p w14:paraId="703119A1">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3F8C59A2">
      <w:pPr>
        <w:pStyle w:val="18"/>
        <w:widowControl w:val="0"/>
        <w:autoSpaceDE w:val="0"/>
        <w:autoSpaceDN w:val="0"/>
        <w:ind w:left="0" w:leftChars="0" w:right="0" w:rightChars="0" w:firstLine="0" w:firstLineChars="0"/>
        <w:jc w:val="both"/>
        <w:rPr>
          <w:rFonts w:hint="eastAsia" w:ascii="宋体" w:hAnsi="宋体"/>
          <w:sz w:val="36"/>
          <w:lang w:val="en-US" w:eastAsia="zh-CN"/>
        </w:rPr>
      </w:pPr>
    </w:p>
    <w:p w14:paraId="4F7C6363">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部门名称：</w:t>
      </w:r>
      <w:r>
        <w:rPr>
          <w:rFonts w:hint="eastAsia" w:ascii="宋体" w:hAnsi="宋体"/>
          <w:sz w:val="36"/>
          <w:lang w:val="en-US" w:eastAsia="zh-CN"/>
        </w:rPr>
        <w:t>始兴县退役军人事务局</w:t>
      </w:r>
    </w:p>
    <w:p w14:paraId="6007D96A">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1D6EC6C0">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雷蕙华</w:t>
      </w:r>
    </w:p>
    <w:p w14:paraId="5689703D">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18748DCA">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联系电话：</w:t>
      </w:r>
      <w:r>
        <w:rPr>
          <w:rFonts w:hint="eastAsia" w:ascii="宋体" w:hAnsi="宋体"/>
          <w:sz w:val="36"/>
          <w:lang w:val="en-US" w:eastAsia="zh-CN"/>
        </w:rPr>
        <w:t>0751-6973383</w:t>
      </w:r>
    </w:p>
    <w:p w14:paraId="3DA4C7F3">
      <w:pPr>
        <w:pStyle w:val="18"/>
        <w:widowControl w:val="0"/>
        <w:autoSpaceDE w:val="0"/>
        <w:autoSpaceDN w:val="0"/>
        <w:ind w:left="0" w:leftChars="0" w:right="0" w:rightChars="0" w:firstLine="0" w:firstLineChars="0"/>
        <w:jc w:val="both"/>
        <w:rPr>
          <w:rFonts w:hint="eastAsia" w:ascii="宋体" w:hAnsi="宋体" w:eastAsia="宋体"/>
          <w:sz w:val="36"/>
          <w:lang w:val="en-US" w:eastAsia="zh-CN"/>
        </w:rPr>
      </w:pPr>
      <w:r>
        <w:rPr>
          <w:rFonts w:hint="eastAsia" w:ascii="宋体" w:hAnsi="宋体"/>
          <w:sz w:val="36"/>
          <w:lang w:val="en-US" w:eastAsia="zh-CN"/>
        </w:rPr>
        <w:t xml:space="preserve"> </w:t>
      </w:r>
    </w:p>
    <w:p w14:paraId="0117453E">
      <w:pPr>
        <w:ind w:left="0" w:leftChars="0" w:right="0" w:rightChars="0" w:firstLine="0" w:firstLineChars="0"/>
        <w:jc w:val="both"/>
        <w:rPr>
          <w:rFonts w:hint="eastAsia" w:ascii="黑体" w:hAnsi="黑体" w:eastAsia="黑体"/>
          <w:sz w:val="32"/>
        </w:rPr>
      </w:pPr>
      <w:r>
        <w:rPr>
          <w:rFonts w:hint="eastAsia" w:ascii="宋体" w:hAnsi="宋体" w:eastAsia="宋体"/>
          <w:sz w:val="36"/>
        </w:rPr>
        <w:t>填报日期：</w:t>
      </w:r>
      <w:r>
        <w:rPr>
          <w:rFonts w:hint="eastAsia" w:ascii="宋体" w:hAnsi="宋体"/>
          <w:sz w:val="36"/>
          <w:lang w:val="en-US" w:eastAsia="zh-CN"/>
        </w:rPr>
        <w:t>2026-05-19</w:t>
      </w: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14:paraId="5D816DE0">
      <w:pPr>
        <w:numPr>
          <w:ilvl w:val="0"/>
          <w:numId w:val="1"/>
        </w:numPr>
        <w:ind w:left="0" w:leftChars="0" w:right="0" w:rightChars="0" w:firstLine="640" w:firstLineChars="200"/>
        <w:jc w:val="left"/>
        <w:rPr>
          <w:rFonts w:hint="eastAsia" w:ascii="仿宋_GB2312" w:hAnsi="仿宋_GB2312" w:eastAsia="仿宋_GB2312"/>
          <w:sz w:val="32"/>
        </w:rPr>
      </w:pPr>
      <w:r>
        <w:rPr>
          <w:rFonts w:hint="eastAsia" w:ascii="楷体_GB2312" w:hAnsi="楷体_GB2312" w:eastAsia="楷体_GB2312" w:cs="楷体_GB2312"/>
          <w:sz w:val="32"/>
        </w:rPr>
        <w:t>部门职能</w:t>
      </w:r>
      <w:r>
        <w:rPr>
          <w:rFonts w:hint="eastAsia" w:ascii="仿宋_GB2312" w:hAnsi="仿宋_GB2312" w:eastAsia="仿宋_GB2312"/>
          <w:sz w:val="32"/>
        </w:rPr>
        <w:t>。</w:t>
      </w:r>
    </w:p>
    <w:p w14:paraId="5B40B48A">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1.负责退役军人思想政治、管理保障和安置优抚等工作政策法规的组织实施，褒扬彰显退役军人为党、国家和人民牺牲奉献的精神风范和价值导向。</w:t>
      </w:r>
    </w:p>
    <w:p w14:paraId="1782ED81">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2.负责军人转业干部、复员干部、离退休干部、退役士兵和无军籍退休退职职工的移交安置工作。</w:t>
      </w:r>
    </w:p>
    <w:p w14:paraId="4A0826EF">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3.贯彻落实全县军队转业干部、退役士兵、随军家属及随调家属安置办法及安置计划并组织实施。</w:t>
      </w:r>
    </w:p>
    <w:p w14:paraId="3AA7A8A2">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4.负责退役军人教育培训、优待抚恤等工作。</w:t>
      </w:r>
    </w:p>
    <w:p w14:paraId="0E3BDC00">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5.负责自主择业军队转业干部服务管理、待遇保障等工作，承担军队转业干部安置工作小组办公室日常工作。</w:t>
      </w:r>
    </w:p>
    <w:p w14:paraId="59BE47EE">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6.组织指导拥军优属活动，承担审核、报批、褒扬革命烈士工作，负责优抚对象的抚恤，指导优抚事业单位的管理，承担双拥工作领导小组办公室的日常工作。</w:t>
      </w:r>
    </w:p>
    <w:p w14:paraId="13E31E71">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7.承办县委、县政府的其他事项。</w:t>
      </w:r>
    </w:p>
    <w:p w14:paraId="430B3380">
      <w:pPr>
        <w:ind w:left="0" w:leftChars="0" w:right="0" w:rightChars="0" w:firstLine="640" w:firstLineChars="200"/>
        <w:jc w:val="left"/>
        <w:rPr>
          <w:rFonts w:hint="eastAsia" w:ascii="仿宋_GB2312" w:hAnsi="仿宋_GB2312" w:eastAsia="仿宋_GB2312"/>
          <w:sz w:val="32"/>
        </w:rPr>
      </w:pPr>
      <w:r>
        <w:rPr>
          <w:rFonts w:hint="eastAsia" w:ascii="仿宋_GB2312" w:eastAsia="仿宋_GB2312"/>
          <w:sz w:val="32"/>
          <w:szCs w:val="32"/>
        </w:rPr>
        <w:t>8.局本部内设机构3个，分别是双拥工作股，移交安置与就业创业股，办公室。</w:t>
      </w:r>
    </w:p>
    <w:p w14:paraId="0BE3A121">
      <w:p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（二）年度总体工作和重点工作任务。</w:t>
      </w:r>
    </w:p>
    <w:p w14:paraId="5489C9FA">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 xml:space="preserve">（一）负责退役军人思想政治、管理保障和安置优抚等 工作政策法规的组织实施，褒扬彰显退役军人为党、国家和 人民牺牲奉献的精神风范和价值导向。 </w:t>
      </w:r>
    </w:p>
    <w:p w14:paraId="09BB59DF">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（二）负责军人转业干部、复员干部、离退休干部、退 役士兵和无军籍退休退职职工的移交安置工作。</w:t>
      </w:r>
    </w:p>
    <w:p w14:paraId="6FE4A2E6">
      <w:pPr>
        <w:ind w:right="0" w:rightChars="0" w:firstLine="640" w:firstLineChars="200"/>
        <w:jc w:val="left"/>
        <w:rPr>
          <w:rFonts w:hint="eastAsia" w:ascii="仿宋_GB2312" w:eastAsia="仿宋_GB2312"/>
          <w:sz w:val="32"/>
          <w:szCs w:val="32"/>
        </w:rPr>
      </w:pPr>
      <w:bookmarkStart w:id="0" w:name="_GoBack"/>
      <w:bookmarkEnd w:id="0"/>
      <w:r>
        <w:rPr>
          <w:rFonts w:hint="eastAsia" w:ascii="仿宋_GB2312" w:eastAsia="仿宋_GB2312"/>
          <w:sz w:val="32"/>
          <w:szCs w:val="32"/>
        </w:rPr>
        <w:t xml:space="preserve"> （三）贯彻落实全县军队转业干部、退役士兵、随军家 属及随调家属安置办法及安置计划并组织实施。 </w:t>
      </w:r>
    </w:p>
    <w:p w14:paraId="7F702E76">
      <w:pPr>
        <w:ind w:left="0" w:leftChars="0" w:right="0" w:rightChars="0" w:firstLine="640" w:firstLineChars="200"/>
        <w:jc w:val="left"/>
        <w:rPr>
          <w:rFonts w:hint="eastAsia" w:ascii="仿宋_GB2312" w:eastAsia="仿宋_GB2312"/>
          <w:sz w:val="32"/>
          <w:szCs w:val="32"/>
        </w:rPr>
      </w:pPr>
      <w:r>
        <w:rPr>
          <w:rFonts w:hint="eastAsia" w:ascii="仿宋_GB2312" w:eastAsia="仿宋_GB2312"/>
          <w:sz w:val="32"/>
          <w:szCs w:val="32"/>
        </w:rPr>
        <w:t xml:space="preserve">（四）负责退役军人教育培训、优待抚恤等工作。 </w:t>
      </w:r>
    </w:p>
    <w:p w14:paraId="003FF24F">
      <w:pPr>
        <w:ind w:left="0" w:leftChars="0" w:right="0" w:rightChars="0" w:firstLine="640" w:firstLineChars="200"/>
        <w:jc w:val="left"/>
        <w:rPr>
          <w:rFonts w:hint="eastAsia" w:ascii="仿宋_GB2312" w:eastAsia="仿宋_GB2312"/>
          <w:sz w:val="32"/>
          <w:szCs w:val="32"/>
          <w:lang w:val="en-US" w:eastAsia="zh-CN"/>
        </w:rPr>
      </w:pPr>
      <w:r>
        <w:rPr>
          <w:rFonts w:hint="eastAsia" w:ascii="仿宋_GB2312" w:eastAsia="仿宋_GB2312"/>
          <w:sz w:val="32"/>
          <w:szCs w:val="32"/>
        </w:rPr>
        <w:t xml:space="preserve">（五）负责自主择业军队转业干部服务管理、待遇保 障等工作，承担军队转业干部安置工作小组办公室日常工作。 </w:t>
      </w:r>
      <w:r>
        <w:rPr>
          <w:rFonts w:hint="eastAsia" w:ascii="仿宋_GB2312" w:eastAsia="仿宋_GB2312"/>
          <w:sz w:val="32"/>
          <w:szCs w:val="32"/>
          <w:lang w:val="en-US" w:eastAsia="zh-CN"/>
        </w:rPr>
        <w:t xml:space="preserve"> </w:t>
      </w:r>
    </w:p>
    <w:p w14:paraId="65D827A8">
      <w:pPr>
        <w:ind w:right="0" w:rightChars="0" w:firstLine="320" w:firstLineChars="100"/>
        <w:jc w:val="left"/>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（六）组织指导拥军优属活动，承担审核、报批、褒 扬革命烈士工作，负责优抚对象的抚恤，指导优抚事业单位 的管理，承担双拥工作领导小组办公室的日常工作。 </w:t>
      </w:r>
    </w:p>
    <w:p w14:paraId="72B1C9EF">
      <w:p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七</w:t>
      </w:r>
      <w:r>
        <w:rPr>
          <w:rFonts w:hint="eastAsia" w:ascii="仿宋_GB2312" w:eastAsia="仿宋_GB2312"/>
          <w:sz w:val="32"/>
          <w:szCs w:val="32"/>
        </w:rPr>
        <w:t>）承办县委、县政府的其他事项。 用心用情做好解困帮扶。自应急救助资金设立以来，我县已为56名救助对象成功申请应急救助资金共计约128.5万元。帮助12名失业退役军人再就业，整合社会拥军资源、慈善关爱机构、志愿服务组织等力量，共帮扶了困难退役军人56人次7.1万元。</w:t>
      </w:r>
    </w:p>
    <w:p w14:paraId="47D5E368">
      <w:p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（三）部门整体支出绩效目标。</w:t>
      </w:r>
    </w:p>
    <w:p w14:paraId="6AFF7FCE">
      <w:pPr>
        <w:ind w:left="0" w:leftChars="0" w:right="0" w:rightChars="0" w:firstLine="640" w:firstLineChars="200"/>
        <w:jc w:val="left"/>
        <w:rPr>
          <w:rFonts w:hint="eastAsia" w:ascii="仿宋_GB2312" w:hAnsi="仿宋_GB2312" w:eastAsia="仿宋_GB2312"/>
          <w:sz w:val="32"/>
        </w:rPr>
      </w:pPr>
      <w:r>
        <w:rPr>
          <w:rFonts w:hint="eastAsia" w:ascii="仿宋_GB2312" w:eastAsia="仿宋_GB2312"/>
          <w:sz w:val="32"/>
          <w:szCs w:val="32"/>
        </w:rPr>
        <w:t>以落实省退役军人事务厅“1+1+12”工作布局、市委“363”具体部署和县委“464”发展思路为统领，我局明确“强基础、优服务、抓创新、提效能”的工作主线，持续完善组织管理体系、工作运行体系、政策制度体系，把退役军人接收安置好、服务保障好、教育管理好、作用发挥好、权益维护好，通过细化分工、压实责任，形成了通抓一盘棋的工作格局。</w:t>
      </w:r>
    </w:p>
    <w:p w14:paraId="18AFA256">
      <w:pPr>
        <w:numPr>
          <w:ilvl w:val="0"/>
          <w:numId w:val="2"/>
        </w:num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部门整体支出情况。</w:t>
      </w:r>
      <w:r>
        <w:rPr>
          <w:rFonts w:hint="eastAsia" w:ascii="仿宋_GB2312" w:hAnsi="仿宋_GB2312" w:eastAsia="仿宋_GB2312"/>
          <w:sz w:val="32"/>
          <w:lang w:eastAsia="zh-CN"/>
        </w:rPr>
        <w:t>分析</w:t>
      </w:r>
      <w:r>
        <w:rPr>
          <w:rFonts w:hint="eastAsia" w:ascii="仿宋_GB2312" w:eastAsia="仿宋_GB2312"/>
          <w:sz w:val="32"/>
          <w:szCs w:val="32"/>
        </w:rPr>
        <w:t>部门预算收支构成、资金来源、近两年预算支出预决算数据对比等。</w:t>
      </w:r>
    </w:p>
    <w:p w14:paraId="44D71562">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2025年支出预算按用途划分，基本支出预算232.13万元，占7.96%，比上年增加22.13万元，增长10.54%。其中：工资福利支出209.05万元，对个人和家庭的补助0万元，商品和服务支出23.08万元，其他资本性支出等支出0万元；项目支出预算2685.65万元，占92.04%，比上年增加256.15万元，增长10.28%。 2025年一般公共预算拨款支出预算按用途划分，基本支出预算232.13万元，占7.96%，比上年增加22.13万元，增长10.54%。其中：工资福利支出209.05万元，对个人和家庭的补助0万元，商品和服务支出23.08万元，其他资本性支出等支出0万元；项目支出预算2685.65万元，占92.04%，比上年增加256.15万元，增长10.28%。 2025年本部门财政拨款安排“三公”经费3.41万元，比上年增加0万元，增长0%，主要原因是与上年持平，无增减变化。其中：因公出国（境）费0万元，比上年增加0万元，增长0%，主要原因是与上年持平，无增减变化；公务用车购置及运行维护费2.5万元（公务用车购置费0万元，比上年增加0万元；公务用车运行维护费2.5万元，比上年增加0万元。）比上年增加0万元，增长0%，主要原因是与上年持平，无增减变化；公务接待费0.91万元，比上年增加0万元，增长0%，主要原因是与上年持平，无增减变化。</w:t>
      </w:r>
    </w:p>
    <w:p w14:paraId="6AB7450D">
      <w:pPr>
        <w:ind w:left="0" w:leftChars="0" w:right="0" w:rightChars="0" w:firstLine="640" w:firstLineChars="200"/>
        <w:jc w:val="left"/>
        <w:rPr>
          <w:rFonts w:hint="eastAsia" w:ascii="黑体" w:hAnsi="黑体" w:eastAsia="黑体"/>
          <w:sz w:val="32"/>
        </w:rPr>
      </w:pPr>
      <w:r>
        <w:rPr>
          <w:rFonts w:hint="eastAsia" w:ascii="黑体" w:hAnsi="黑体" w:eastAsia="黑体"/>
          <w:sz w:val="32"/>
        </w:rPr>
        <w:t>二、绩效自评情况</w:t>
      </w:r>
    </w:p>
    <w:p w14:paraId="6BEB137B">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（一）履职效能分析</w:t>
      </w:r>
    </w:p>
    <w:p w14:paraId="6F7AE223">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结合部门职能与年度总体工作、重点工作任务反映部门整体绩效目标的产出和效益情况及部门预算支出情况，分析存在问题和改进方向。</w:t>
      </w:r>
    </w:p>
    <w:p w14:paraId="2AFFF5FD">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（二）管理效率分析</w:t>
      </w:r>
    </w:p>
    <w:p w14:paraId="7533E31E">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反映在预算编制、预算执行、信息公开、绩效管理、采购管理、资产管理、运行成本等方面的实施情况，分析存在问题和改进方向。</w:t>
      </w:r>
    </w:p>
    <w:p w14:paraId="716EF964">
      <w:pPr>
        <w:ind w:left="0" w:leftChars="0" w:right="0" w:rightChars="0" w:firstLine="640" w:firstLineChars="200"/>
        <w:jc w:val="left"/>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预算执行情况：我单位预算控制良好，全年的公用经费和人员经费，未向财政申请增加预算，执行预算时厉行节约。我单位预算完成率、调整率、支付进度率、结转经费控制率、“三公”经费控制率和政府采购执行率全部达标。我单位圆满完成预期目标，取得了较好的经济和社会评价。</w:t>
      </w:r>
    </w:p>
    <w:p w14:paraId="782C921E">
      <w:pPr>
        <w:ind w:left="0" w:leftChars="0" w:right="0" w:rightChars="0" w:firstLine="640" w:firstLineChars="200"/>
        <w:jc w:val="left"/>
        <w:rPr>
          <w:rFonts w:hint="default" w:ascii="仿宋_GB2312" w:hAnsi="仿宋_GB2312" w:eastAsia="仿宋_GB2312"/>
          <w:sz w:val="32"/>
          <w:lang w:val="en-US" w:eastAsia="zh-CN"/>
        </w:rPr>
      </w:pPr>
      <w:r>
        <w:rPr>
          <w:rFonts w:hint="default" w:ascii="仿宋_GB2312" w:hAnsi="仿宋_GB2312" w:eastAsia="仿宋_GB2312"/>
          <w:sz w:val="32"/>
          <w:lang w:val="en-US" w:eastAsia="zh-CN"/>
        </w:rPr>
        <w:t>资产管理</w:t>
      </w:r>
      <w:r>
        <w:rPr>
          <w:rFonts w:hint="eastAsia" w:ascii="仿宋_GB2312" w:hAnsi="仿宋_GB2312" w:eastAsia="仿宋_GB2312"/>
          <w:sz w:val="32"/>
          <w:lang w:val="en-US" w:eastAsia="zh-CN"/>
        </w:rPr>
        <w:t>情况：2025年资产总额47.56万元（注意金额单位，下同），较上年减少16.89万元，同比减少26.21%；负债总额0万元，较上年增加0万元，同比增加100.00%；净资产总额47.56万元，较上年减少16.89万元，同比减少26.21%。固定资产及时做好资产月结月报的工作，做到账实相符，及时盘点资产情况，按时开展资产自查。要强化固定资产的监督与管理，防止资产流失。建立资产采购、发放监督验收制度，严格领导車批、经手人签宇、申领人签字等手续。</w:t>
      </w:r>
    </w:p>
    <w:p w14:paraId="70B2F2A0">
      <w:pPr>
        <w:numPr>
          <w:ilvl w:val="0"/>
          <w:numId w:val="3"/>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自评结论</w:t>
      </w:r>
    </w:p>
    <w:p w14:paraId="6A50778A">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涉及部门年度工作与部门职能、规划的相关程度判断，部门整体制度保障的完善程度，部门资金内部管理机制的健全程度，部门整体资源配置水平和能力等。</w:t>
      </w:r>
    </w:p>
    <w:p w14:paraId="2A1761E7">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我单位项目资金使用和管理严格遵照《行政事业单位财务制度》、《国库集中支付管理规定》，与财政年初专项资金预算相结合。在资金的使用上，坚持专款专用，量入为出的原则，节约成本的原则，使各项专用资金按规定的用途使用并达到预期目的。建立专项资金使用管理责任制，努力提高其使用效率。加强对项目资金事前、事中、事后全过程的管理监督，发挥专项资金效益的最大化。</w:t>
      </w:r>
    </w:p>
    <w:p w14:paraId="73CC58A2">
      <w:pPr>
        <w:numPr>
          <w:ilvl w:val="0"/>
          <w:numId w:val="0"/>
        </w:numPr>
        <w:ind w:right="0" w:rightChars="0"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我单位参照《202</w:t>
      </w:r>
      <w:r>
        <w:rPr>
          <w:rFonts w:hint="eastAsia" w:ascii="仿宋_GB2312" w:eastAsia="仿宋_GB2312"/>
          <w:sz w:val="32"/>
          <w:szCs w:val="32"/>
          <w:lang w:val="en-US" w:eastAsia="zh-CN"/>
        </w:rPr>
        <w:t>5</w:t>
      </w:r>
      <w:r>
        <w:rPr>
          <w:rFonts w:hint="eastAsia" w:ascii="仿宋_GB2312" w:eastAsia="仿宋_GB2312"/>
          <w:sz w:val="32"/>
          <w:szCs w:val="32"/>
          <w:lang w:eastAsia="zh-CN"/>
        </w:rPr>
        <w:t>年部门整体支出绩效评价自评表》进行自评评分，此次自评评分为98分。</w:t>
      </w:r>
    </w:p>
    <w:p w14:paraId="4E63D510">
      <w:pPr>
        <w:numPr>
          <w:ilvl w:val="0"/>
          <w:numId w:val="4"/>
        </w:numPr>
        <w:ind w:left="0" w:leftChars="0" w:right="0" w:rightChars="0" w:firstLine="640" w:firstLineChars="200"/>
        <w:jc w:val="left"/>
        <w:rPr>
          <w:rFonts w:hint="eastAsia" w:ascii="黑体" w:hAnsi="黑体" w:eastAsia="黑体"/>
          <w:sz w:val="32"/>
        </w:rPr>
      </w:pPr>
      <w:r>
        <w:rPr>
          <w:rFonts w:hint="eastAsia" w:ascii="黑体" w:hAnsi="黑体" w:eastAsia="黑体"/>
          <w:sz w:val="32"/>
        </w:rPr>
        <w:t>存在问题及改进意见</w:t>
      </w:r>
    </w:p>
    <w:p w14:paraId="3E224C94">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rPr>
        <w:t>就部门整体支出绩效管理存在问题</w:t>
      </w:r>
      <w:r>
        <w:rPr>
          <w:rFonts w:hint="eastAsia" w:ascii="仿宋_GB2312" w:hAnsi="仿宋_GB2312" w:eastAsia="仿宋_GB2312" w:cs="仿宋_GB2312"/>
          <w:sz w:val="32"/>
          <w:lang w:eastAsia="zh-CN"/>
        </w:rPr>
        <w:t>进行分析，</w:t>
      </w:r>
      <w:r>
        <w:rPr>
          <w:rFonts w:hint="eastAsia" w:ascii="仿宋_GB2312" w:hAnsi="仿宋_GB2312" w:eastAsia="仿宋_GB2312" w:cs="仿宋_GB2312"/>
          <w:sz w:val="32"/>
        </w:rPr>
        <w:t>提出改进措施</w:t>
      </w:r>
      <w:r>
        <w:rPr>
          <w:rFonts w:hint="eastAsia" w:ascii="仿宋_GB2312" w:hAnsi="仿宋_GB2312" w:eastAsia="仿宋_GB2312" w:cs="仿宋_GB2312"/>
          <w:sz w:val="32"/>
          <w:lang w:eastAsia="zh-CN"/>
        </w:rPr>
        <w:t>。</w:t>
      </w:r>
    </w:p>
    <w:p w14:paraId="48303363">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历史安置遗留问题。如龚某多次上访要求重新安置及按现行人均可支配收入增发补助金；黄某说无接收到安置通知，要求重新安置等问题。</w:t>
      </w:r>
    </w:p>
    <w:p w14:paraId="4F720B45">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落实“阳光安置”政策，优化转业军官和符合政府安排工作条件退役士兵的岗位对接，确保安置率100%。探索“直通车”式安置模式，加强与企业、基层单位的定向对接。</w:t>
      </w:r>
    </w:p>
    <w:p w14:paraId="35D451F3">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局将紧紧围绕中央、省、市、县关于退役军人事务工作的决策部署，进一步健全完善退役军人服务保障体系，严格把控资金的使用，加强服务能力建设，严格落实各项优抚安置政策，高效推进社保接续工作，全面提升军民融合水平，切实加强人文关怀力度，着重防范化解重大风险工作，用心用情用力做好退役军人服务保障工作。</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FangSong.GB2312">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35DE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27E832">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F27E832">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06C4E"/>
    <w:multiLevelType w:val="singleLevel"/>
    <w:tmpl w:val="89706C4E"/>
    <w:lvl w:ilvl="0" w:tentative="0">
      <w:start w:val="1"/>
      <w:numFmt w:val="chineseCounting"/>
      <w:suff w:val="nothing"/>
      <w:lvlText w:val="（%1）"/>
      <w:lvlJc w:val="left"/>
      <w:rPr>
        <w:rFonts w:hint="eastAsia"/>
      </w:rPr>
    </w:lvl>
  </w:abstractNum>
  <w:abstractNum w:abstractNumId="1">
    <w:nsid w:val="9AEFDCAC"/>
    <w:multiLevelType w:val="singleLevel"/>
    <w:tmpl w:val="9AEFDCAC"/>
    <w:lvl w:ilvl="0" w:tentative="0">
      <w:start w:val="4"/>
      <w:numFmt w:val="chineseCounting"/>
      <w:suff w:val="nothing"/>
      <w:lvlText w:val="（%1）"/>
      <w:lvlJc w:val="left"/>
      <w:rPr>
        <w:rFonts w:hint="eastAsia"/>
      </w:rPr>
    </w:lvl>
  </w:abstractNum>
  <w:abstractNum w:abstractNumId="2">
    <w:nsid w:val="FB296227"/>
    <w:multiLevelType w:val="singleLevel"/>
    <w:tmpl w:val="FB296227"/>
    <w:lvl w:ilvl="0" w:tentative="0">
      <w:start w:val="3"/>
      <w:numFmt w:val="chineseCounting"/>
      <w:suff w:val="nothing"/>
      <w:lvlText w:val="%1、"/>
      <w:lvlJc w:val="left"/>
      <w:rPr>
        <w:rFonts w:hint="eastAsia"/>
      </w:rPr>
    </w:lvl>
  </w:abstractNum>
  <w:abstractNum w:abstractNumId="3">
    <w:nsid w:val="7289AB2E"/>
    <w:multiLevelType w:val="singleLevel"/>
    <w:tmpl w:val="7289AB2E"/>
    <w:lvl w:ilvl="0" w:tentative="0">
      <w:start w:val="3"/>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5MGQyODJjNmQ3OThlZThiNDA3NmRmMzIzY2RjYjMifQ=="/>
  </w:docVars>
  <w:rsids>
    <w:rsidRoot w:val="00172A27"/>
    <w:rsid w:val="0B7100B6"/>
    <w:rsid w:val="121B0F9A"/>
    <w:rsid w:val="19B07ACE"/>
    <w:rsid w:val="1A9F7253"/>
    <w:rsid w:val="2755736B"/>
    <w:rsid w:val="2D8D6F31"/>
    <w:rsid w:val="3D987913"/>
    <w:rsid w:val="41E128A5"/>
    <w:rsid w:val="467320EF"/>
    <w:rsid w:val="55DA38A0"/>
    <w:rsid w:val="620204A2"/>
    <w:rsid w:val="67DA14DE"/>
    <w:rsid w:val="69975281"/>
    <w:rsid w:val="6C2B2226"/>
    <w:rsid w:val="79D35A59"/>
    <w:rsid w:val="7C9E269A"/>
    <w:rsid w:val="7E1803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正文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7">
    <w:name w:val="Normal New New New New"/>
    <w:qFormat/>
    <w:uiPriority w:val="0"/>
    <w:pPr>
      <w:jc w:val="both"/>
    </w:pPr>
    <w:rPr>
      <w:rFonts w:ascii="Times New Roman" w:hAnsi="Times New Roman" w:eastAsia="宋体" w:cs="Times New Roman"/>
      <w:kern w:val="2"/>
      <w:sz w:val="21"/>
    </w:rPr>
  </w:style>
  <w:style w:type="paragraph" w:customStyle="1" w:styleId="8">
    <w:name w:val="Normal New New New"/>
    <w:qFormat/>
    <w:uiPriority w:val="0"/>
    <w:pPr>
      <w:jc w:val="both"/>
    </w:pPr>
    <w:rPr>
      <w:rFonts w:ascii="Times New Roman" w:hAnsi="Times New Roman" w:eastAsia="宋体" w:cs="Times New Roman"/>
      <w:kern w:val="2"/>
      <w:sz w:val="21"/>
    </w:rPr>
  </w:style>
  <w:style w:type="paragraph" w:customStyle="1" w:styleId="9">
    <w:name w:val="Normal New New"/>
    <w:qFormat/>
    <w:uiPriority w:val="0"/>
    <w:pPr>
      <w:jc w:val="both"/>
    </w:pPr>
    <w:rPr>
      <w:rFonts w:ascii="Times New Roman" w:hAnsi="Times New Roman" w:eastAsia="宋体" w:cs="Times New Roman"/>
      <w:kern w:val="2"/>
      <w:sz w:val="21"/>
    </w:rPr>
  </w:style>
  <w:style w:type="paragraph" w:customStyle="1" w:styleId="10">
    <w:name w:val="Normal New"/>
    <w:qFormat/>
    <w:uiPriority w:val="0"/>
    <w:pPr>
      <w:jc w:val="both"/>
    </w:pPr>
    <w:rPr>
      <w:rFonts w:ascii="Times New Roman" w:hAnsi="Times New Roman" w:eastAsia="宋体" w:cs="Times New Roman"/>
      <w:kern w:val="2"/>
      <w:sz w:val="21"/>
    </w:rPr>
  </w:style>
  <w:style w:type="paragraph" w:customStyle="1" w:styleId="11">
    <w:name w:val="Normal New New New New New New"/>
    <w:qFormat/>
    <w:uiPriority w:val="0"/>
    <w:pPr>
      <w:jc w:val="both"/>
    </w:pPr>
    <w:rPr>
      <w:rFonts w:ascii="Times New Roman" w:hAnsi="Times New Roman" w:eastAsia="宋体" w:cs="Times New Roman"/>
      <w:kern w:val="2"/>
      <w:sz w:val="21"/>
    </w:rPr>
  </w:style>
  <w:style w:type="paragraph" w:customStyle="1" w:styleId="12">
    <w:name w:val="正文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3">
    <w:name w:val="正文 New New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4">
    <w:name w:val="正文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正文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Normal New New New New New"/>
    <w:uiPriority w:val="0"/>
    <w:pPr>
      <w:jc w:val="both"/>
    </w:pPr>
    <w:rPr>
      <w:rFonts w:ascii="Times New Roman" w:hAnsi="Times New Roman" w:eastAsia="宋体" w:cs="Times New Roman"/>
      <w:kern w:val="2"/>
      <w:sz w:val="21"/>
    </w:rPr>
  </w:style>
  <w:style w:type="paragraph" w:customStyle="1" w:styleId="18">
    <w:name w:val="Normal"/>
    <w:qFormat/>
    <w:uiPriority w:val="0"/>
    <w:pPr>
      <w:jc w:val="both"/>
    </w:pPr>
    <w:rPr>
      <w:rFonts w:ascii="Times New Roman" w:hAnsi="Times New Roman" w:eastAsia="宋体" w:cs="Times New Roman"/>
      <w:kern w:val="2"/>
      <w:sz w:val="21"/>
    </w:rPr>
  </w:style>
  <w:style w:type="paragraph" w:customStyle="1" w:styleId="19">
    <w:name w:val="正文 New New New New New New New"/>
    <w:uiPriority w:val="0"/>
    <w:pPr>
      <w:widowControl w:val="0"/>
      <w:jc w:val="both"/>
    </w:pPr>
    <w:rPr>
      <w:rFonts w:ascii="Times New Roman" w:hAnsi="Times New Roman" w:eastAsia="宋体" w:cs="Times New Roman"/>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Kingsoft\WPS%20Office\12.1.0.16929\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7</Pages>
  <Words>2578</Words>
  <Characters>2785</Characters>
  <Lines>0</Lines>
  <Paragraphs>0</Paragraphs>
  <TotalTime>114</TotalTime>
  <ScaleCrop>false</ScaleCrop>
  <LinksUpToDate>false</LinksUpToDate>
  <CharactersWithSpaces>2831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2011-09-13T11:13:00Z</dcterms:created>
  <dc:creator>Tian</dc:creator>
  <cp:lastModifiedBy>WPS_1741261096</cp:lastModifiedBy>
  <cp:lastPrinted>2019-07-01T00:12:00Z</cp:lastPrinted>
  <dcterms:modified xsi:type="dcterms:W3CDTF">2026-05-16T02:33:47Z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B4253848F909460F861C8B0A2CE9D099_13</vt:lpwstr>
  </property>
  <property fmtid="{D5CDD505-2E9C-101B-9397-08002B2CF9AE}" pid="4" name="KSOTemplateDocerSaveRecord">
    <vt:lpwstr>eyJoZGlkIjoiOGE5MGQyODJjNmQ3OThlZThiNDA3NmRmMzIzY2RjYjMiLCJ1c2VySWQiOiIxNjg0ODE0MTI4In0=</vt:lpwstr>
  </property>
</Properties>
</file>