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6D9958">
      <w:pPr>
        <w:spacing w:line="600" w:lineRule="exact"/>
        <w:jc w:val="both"/>
        <w:rPr>
          <w:rFonts w:hint="eastAsia" w:ascii="国标黑体" w:hAnsi="国标黑体" w:eastAsia="国标黑体" w:cs="国标黑体"/>
          <w:w w:val="96"/>
          <w:sz w:val="32"/>
          <w:szCs w:val="32"/>
          <w:lang w:val="en-US" w:eastAsia="zh-CN"/>
        </w:rPr>
      </w:pPr>
      <w:r>
        <w:rPr>
          <w:rFonts w:hint="eastAsia" w:ascii="国标黑体" w:hAnsi="国标黑体" w:eastAsia="国标黑体" w:cs="国标黑体"/>
          <w:w w:val="96"/>
          <w:sz w:val="32"/>
          <w:szCs w:val="32"/>
          <w:lang w:val="en-US" w:eastAsia="zh-CN"/>
        </w:rPr>
        <w:t>附件1：</w:t>
      </w:r>
    </w:p>
    <w:p w14:paraId="7AB8A138">
      <w:pPr>
        <w:spacing w:line="600" w:lineRule="exact"/>
        <w:jc w:val="center"/>
        <w:rPr>
          <w:rFonts w:hint="eastAsia" w:ascii="方正小标宋简体" w:eastAsia="方正小标宋简体"/>
          <w:sz w:val="44"/>
          <w:szCs w:val="44"/>
          <w:lang w:val="en-US" w:eastAsia="zh-CN"/>
        </w:rPr>
      </w:pPr>
      <w:r>
        <w:rPr>
          <w:rFonts w:hint="eastAsia" w:ascii="方正小标宋简体" w:eastAsia="方正小标宋简体"/>
          <w:w w:val="96"/>
          <w:sz w:val="44"/>
          <w:szCs w:val="44"/>
          <w:lang w:val="en-US" w:eastAsia="zh-CN"/>
        </w:rPr>
        <w:t>始兴</w:t>
      </w:r>
      <w:r>
        <w:rPr>
          <w:rFonts w:hint="eastAsia" w:ascii="方正小标宋简体" w:eastAsia="方正小标宋简体"/>
          <w:w w:val="96"/>
          <w:sz w:val="44"/>
          <w:szCs w:val="44"/>
        </w:rPr>
        <w:t>县农村生活污水处理设施运行维护管理办法（试行）</w:t>
      </w:r>
      <w:r>
        <w:rPr>
          <w:rFonts w:hint="eastAsia" w:ascii="方正小标宋简体" w:eastAsia="方正小标宋简体"/>
          <w:w w:val="96"/>
          <w:sz w:val="44"/>
          <w:szCs w:val="44"/>
          <w:lang w:eastAsia="zh-CN"/>
        </w:rPr>
        <w:t>（征求意见稿</w:t>
      </w:r>
      <w:bookmarkStart w:id="0" w:name="_GoBack"/>
      <w:bookmarkEnd w:id="0"/>
      <w:r>
        <w:rPr>
          <w:rFonts w:hint="eastAsia" w:ascii="方正小标宋简体" w:eastAsia="方正小标宋简体"/>
          <w:w w:val="96"/>
          <w:sz w:val="44"/>
          <w:szCs w:val="44"/>
          <w:lang w:eastAsia="zh-CN"/>
        </w:rPr>
        <w:t>）</w:t>
      </w:r>
    </w:p>
    <w:p w14:paraId="3390F1AA">
      <w:pPr>
        <w:keepNext w:val="0"/>
        <w:keepLines w:val="0"/>
        <w:pageBreakBefore w:val="0"/>
        <w:widowControl w:val="0"/>
        <w:kinsoku/>
        <w:wordWrap/>
        <w:overflowPunct/>
        <w:topLinePunct w:val="0"/>
        <w:autoSpaceDE/>
        <w:autoSpaceDN/>
        <w:bidi w:val="0"/>
        <w:adjustRightInd/>
        <w:snapToGrid/>
        <w:spacing w:line="340" w:lineRule="exact"/>
        <w:textAlignment w:val="auto"/>
        <w:rPr>
          <w:rFonts w:ascii="仿宋_GB2312" w:eastAsia="仿宋_GB2312"/>
          <w:sz w:val="32"/>
          <w:szCs w:val="32"/>
        </w:rPr>
      </w:pPr>
    </w:p>
    <w:p w14:paraId="59837A3B">
      <w:pPr>
        <w:keepNext w:val="0"/>
        <w:keepLines w:val="0"/>
        <w:pageBreakBefore w:val="0"/>
        <w:kinsoku/>
        <w:topLinePunct w:val="0"/>
        <w:autoSpaceDE/>
        <w:autoSpaceDN/>
        <w:bidi w:val="0"/>
        <w:adjustRightInd/>
        <w:snapToGrid/>
        <w:spacing w:line="590" w:lineRule="exact"/>
        <w:jc w:val="center"/>
        <w:textAlignment w:val="auto"/>
        <w:rPr>
          <w:rFonts w:ascii="黑体" w:hAnsi="黑体" w:eastAsia="黑体"/>
          <w:sz w:val="32"/>
          <w:szCs w:val="32"/>
        </w:rPr>
      </w:pPr>
      <w:r>
        <w:rPr>
          <w:rFonts w:hint="eastAsia" w:ascii="黑体" w:hAnsi="黑体" w:eastAsia="黑体"/>
          <w:sz w:val="32"/>
          <w:szCs w:val="32"/>
        </w:rPr>
        <w:t>第一章 总则</w:t>
      </w:r>
    </w:p>
    <w:p w14:paraId="18B74D62">
      <w:pPr>
        <w:keepNext w:val="0"/>
        <w:keepLines w:val="0"/>
        <w:pageBreakBefore w:val="0"/>
        <w:kinsoku/>
        <w:wordWrap w:val="0"/>
        <w:overflowPunct w:val="0"/>
        <w:topLinePunct w:val="0"/>
        <w:autoSpaceDE/>
        <w:autoSpaceDN/>
        <w:bidi w:val="0"/>
        <w:adjustRightInd/>
        <w:snapToGrid/>
        <w:spacing w:line="59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黑体" w:hAnsi="黑体" w:eastAsia="黑体"/>
          <w:sz w:val="32"/>
          <w:szCs w:val="32"/>
        </w:rPr>
        <w:t>第一条</w:t>
      </w:r>
      <w:r>
        <w:rPr>
          <w:rFonts w:hint="eastAsia" w:ascii="仿宋_GB2312" w:eastAsia="仿宋_GB2312"/>
          <w:sz w:val="32"/>
          <w:szCs w:val="32"/>
        </w:rPr>
        <w:t xml:space="preserve"> </w:t>
      </w:r>
      <w:r>
        <w:rPr>
          <w:rFonts w:hint="eastAsia" w:ascii="CESI仿宋-GB2312" w:hAnsi="CESI仿宋-GB2312" w:eastAsia="CESI仿宋-GB2312" w:cs="CESI仿宋-GB2312"/>
          <w:sz w:val="32"/>
          <w:szCs w:val="32"/>
        </w:rPr>
        <w:t>为规范和加强</w:t>
      </w:r>
      <w:r>
        <w:rPr>
          <w:rFonts w:hint="eastAsia" w:ascii="CESI仿宋-GB2312" w:hAnsi="CESI仿宋-GB2312" w:eastAsia="CESI仿宋-GB2312" w:cs="CESI仿宋-GB2312"/>
          <w:sz w:val="32"/>
          <w:szCs w:val="32"/>
          <w:lang w:val="en-US" w:eastAsia="zh-CN"/>
        </w:rPr>
        <w:t>始兴</w:t>
      </w:r>
      <w:r>
        <w:rPr>
          <w:rFonts w:hint="eastAsia" w:ascii="CESI仿宋-GB2312" w:hAnsi="CESI仿宋-GB2312" w:eastAsia="CESI仿宋-GB2312" w:cs="CESI仿宋-GB2312"/>
          <w:sz w:val="32"/>
          <w:szCs w:val="32"/>
        </w:rPr>
        <w:t>县农村生活污水处理设施运行维护管理，</w:t>
      </w:r>
      <w:r>
        <w:rPr>
          <w:rFonts w:hint="eastAsia" w:ascii="CESI仿宋-GB2312" w:hAnsi="CESI仿宋-GB2312" w:eastAsia="CESI仿宋-GB2312" w:cs="CESI仿宋-GB2312"/>
          <w:sz w:val="32"/>
          <w:szCs w:val="32"/>
          <w:lang w:val="en-US" w:eastAsia="zh-CN"/>
        </w:rPr>
        <w:t>根据</w:t>
      </w:r>
      <w:r>
        <w:rPr>
          <w:rFonts w:hint="eastAsia" w:ascii="CESI仿宋-GB2312" w:hAnsi="CESI仿宋-GB2312" w:eastAsia="CESI仿宋-GB2312" w:cs="CESI仿宋-GB2312"/>
          <w:sz w:val="32"/>
          <w:szCs w:val="32"/>
        </w:rPr>
        <w:t>《关于进一步推进农村生活污水治理的指导意见》（环办土壤〔2023〕24号）</w:t>
      </w:r>
      <w:r>
        <w:rPr>
          <w:rFonts w:hint="eastAsia" w:ascii="CESI仿宋-GB2312" w:hAnsi="CESI仿宋-GB2312" w:eastAsia="CESI仿宋-GB2312" w:cs="CESI仿宋-GB2312"/>
          <w:sz w:val="32"/>
          <w:szCs w:val="32"/>
          <w:lang w:val="en-US" w:eastAsia="zh-CN"/>
        </w:rPr>
        <w:t>文件精神，对照</w:t>
      </w:r>
      <w:r>
        <w:rPr>
          <w:rFonts w:hint="eastAsia" w:ascii="CESI仿宋-GB2312" w:hAnsi="CESI仿宋-GB2312" w:eastAsia="CESI仿宋-GB2312" w:cs="CESI仿宋-GB2312"/>
          <w:sz w:val="32"/>
          <w:szCs w:val="32"/>
        </w:rPr>
        <w:t>《广东省农村生活污水治理认定标准》（粤环函〔2025〕26号）</w:t>
      </w:r>
      <w:r>
        <w:rPr>
          <w:rFonts w:hint="eastAsia" w:ascii="CESI仿宋-GB2312" w:hAnsi="CESI仿宋-GB2312" w:eastAsia="CESI仿宋-GB2312" w:cs="CESI仿宋-GB2312"/>
          <w:sz w:val="32"/>
          <w:szCs w:val="32"/>
          <w:lang w:val="en-US" w:eastAsia="zh-CN"/>
        </w:rPr>
        <w:t>文件要求，参考</w:t>
      </w:r>
      <w:r>
        <w:rPr>
          <w:rFonts w:hint="eastAsia" w:ascii="CESI仿宋-GB2312" w:hAnsi="CESI仿宋-GB2312" w:eastAsia="CESI仿宋-GB2312" w:cs="CESI仿宋-GB2312"/>
          <w:sz w:val="32"/>
          <w:szCs w:val="32"/>
        </w:rPr>
        <w:t>《农村生活污水处理设施运行维护技术指南》（T/CAEPI51-2022）</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《广东省农村生活污水处理设施运营维护与评价标准》（DBJ/T15-207-2020）等</w:t>
      </w:r>
      <w:r>
        <w:rPr>
          <w:rFonts w:hint="eastAsia" w:ascii="CESI仿宋-GB2312" w:hAnsi="CESI仿宋-GB2312" w:eastAsia="CESI仿宋-GB2312" w:cs="CESI仿宋-GB2312"/>
          <w:sz w:val="32"/>
          <w:szCs w:val="32"/>
          <w:lang w:val="en-US" w:eastAsia="zh-CN"/>
        </w:rPr>
        <w:t>技术规范要求</w:t>
      </w:r>
      <w:r>
        <w:rPr>
          <w:rFonts w:hint="eastAsia" w:ascii="CESI仿宋-GB2312" w:hAnsi="CESI仿宋-GB2312" w:eastAsia="CESI仿宋-GB2312" w:cs="CESI仿宋-GB2312"/>
          <w:sz w:val="32"/>
          <w:szCs w:val="32"/>
        </w:rPr>
        <w:t>，结合我县实际，制定本办法。</w:t>
      </w:r>
    </w:p>
    <w:p w14:paraId="1D0448EB">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黑体" w:hAnsi="黑体" w:eastAsia="黑体"/>
          <w:sz w:val="32"/>
          <w:szCs w:val="32"/>
        </w:rPr>
        <w:t xml:space="preserve">第二条 </w:t>
      </w:r>
      <w:r>
        <w:rPr>
          <w:rFonts w:hint="eastAsia" w:ascii="CESI仿宋-GB2312" w:hAnsi="CESI仿宋-GB2312" w:eastAsia="CESI仿宋-GB2312" w:cs="CESI仿宋-GB2312"/>
          <w:sz w:val="32"/>
          <w:szCs w:val="32"/>
        </w:rPr>
        <w:t>本办法的农村生活污水处理设施是指农村地区已建的，处理规模小于500m</w:t>
      </w:r>
      <w:r>
        <w:rPr>
          <w:rFonts w:hint="eastAsia" w:ascii="CESI仿宋-GB2312" w:hAnsi="CESI仿宋-GB2312" w:eastAsia="CESI仿宋-GB2312" w:cs="CESI仿宋-GB2312"/>
          <w:sz w:val="32"/>
          <w:szCs w:val="32"/>
          <w:vertAlign w:val="superscript"/>
        </w:rPr>
        <w:t>3</w:t>
      </w:r>
      <w:r>
        <w:rPr>
          <w:rFonts w:hint="eastAsia" w:ascii="CESI仿宋-GB2312" w:hAnsi="CESI仿宋-GB2312" w:eastAsia="CESI仿宋-GB2312" w:cs="CESI仿宋-GB2312"/>
          <w:sz w:val="32"/>
          <w:szCs w:val="32"/>
        </w:rPr>
        <w:t>/d的，通过竣工验收投入使用的一体化设备、人工湿地、稳定塘等污水处理设施及配套污水收集管渠，包括统一建设的厌氧池、水解酸化池等资源化利用预处理设施及配套污水收集管渠（农户自建家用化粪池、纳入城镇污水处理厂的市政管网除外）。以接户井为界限，接户井之前为户内系统，由农户</w:t>
      </w:r>
      <w:r>
        <w:rPr>
          <w:rFonts w:hint="eastAsia" w:ascii="CESI仿宋-GB2312" w:hAnsi="CESI仿宋-GB2312" w:eastAsia="CESI仿宋-GB2312" w:cs="CESI仿宋-GB2312"/>
          <w:sz w:val="32"/>
          <w:szCs w:val="32"/>
          <w:lang w:eastAsia="zh-CN"/>
        </w:rPr>
        <w:t>（商户）</w:t>
      </w:r>
      <w:r>
        <w:rPr>
          <w:rFonts w:hint="eastAsia" w:ascii="CESI仿宋-GB2312" w:hAnsi="CESI仿宋-GB2312" w:eastAsia="CESI仿宋-GB2312" w:cs="CESI仿宋-GB2312"/>
          <w:sz w:val="32"/>
          <w:szCs w:val="32"/>
        </w:rPr>
        <w:t>自行管理、维护</w:t>
      </w:r>
      <w:r>
        <w:rPr>
          <w:rFonts w:hint="eastAsia" w:ascii="CESI仿宋-GB2312" w:hAnsi="CESI仿宋-GB2312" w:eastAsia="CESI仿宋-GB2312" w:cs="CESI仿宋-GB2312"/>
          <w:sz w:val="32"/>
          <w:szCs w:val="32"/>
          <w:lang w:eastAsia="zh-CN"/>
        </w:rPr>
        <w:t>，规范排放污水，定期检查接户管运行情况；</w:t>
      </w:r>
      <w:r>
        <w:rPr>
          <w:rFonts w:hint="eastAsia" w:ascii="CESI仿宋-GB2312" w:hAnsi="CESI仿宋-GB2312" w:eastAsia="CESI仿宋-GB2312" w:cs="CESI仿宋-GB2312"/>
          <w:sz w:val="32"/>
          <w:szCs w:val="32"/>
          <w:lang w:val="en-US" w:eastAsia="zh-CN"/>
        </w:rPr>
        <w:t>接户井及</w:t>
      </w:r>
      <w:r>
        <w:rPr>
          <w:rFonts w:hint="eastAsia" w:ascii="CESI仿宋-GB2312" w:hAnsi="CESI仿宋-GB2312" w:eastAsia="CESI仿宋-GB2312" w:cs="CESI仿宋-GB2312"/>
          <w:sz w:val="32"/>
          <w:szCs w:val="32"/>
        </w:rPr>
        <w:t>户外系统由运维单位进行管理、维护。</w:t>
      </w:r>
    </w:p>
    <w:p w14:paraId="6C153374">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highlight w:val="red"/>
          <w:lang w:eastAsia="zh-CN"/>
        </w:rPr>
      </w:pPr>
      <w:r>
        <w:rPr>
          <w:rFonts w:hint="eastAsia" w:ascii="黑体" w:hAnsi="黑体" w:eastAsia="黑体"/>
          <w:sz w:val="32"/>
          <w:szCs w:val="32"/>
        </w:rPr>
        <w:t>第三条</w:t>
      </w:r>
      <w:r>
        <w:rPr>
          <w:rFonts w:hint="eastAsia" w:ascii="仿宋_GB2312" w:eastAsia="仿宋_GB2312"/>
          <w:sz w:val="32"/>
          <w:szCs w:val="32"/>
        </w:rPr>
        <w:t xml:space="preserve"> </w:t>
      </w:r>
      <w:r>
        <w:rPr>
          <w:rFonts w:hint="eastAsia" w:ascii="CESI仿宋-GB2312" w:hAnsi="CESI仿宋-GB2312" w:eastAsia="CESI仿宋-GB2312" w:cs="CESI仿宋-GB2312"/>
          <w:sz w:val="32"/>
          <w:szCs w:val="32"/>
          <w:lang w:val="en-US" w:eastAsia="zh-CN"/>
        </w:rPr>
        <w:t>纳入城镇污水收集处理系统的村庄，以市政管网接驳点为界限，村内污水收集系统采用第三方模式开展运维管理，市政管网及污水处理厂归入城镇污水处理厂运维管理体系;建设农村生活污水处理设施的自然村，采用第三方模式开展运维管理(其中，PPP模式整县推进建设污水设施的，按合同约定开展运维管理模式);采用资源化利用模式的自然村，可结合实际需求采用第三方模式或镇村自行运维管理模式；采用有效管控模式的自然村，依托村内保洁等工作同步开展运维管护工作。</w:t>
      </w:r>
    </w:p>
    <w:p w14:paraId="70392CC9">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黑体" w:hAnsi="黑体" w:eastAsia="黑体"/>
          <w:sz w:val="32"/>
          <w:szCs w:val="32"/>
        </w:rPr>
        <w:t xml:space="preserve">第四条 </w:t>
      </w:r>
      <w:r>
        <w:rPr>
          <w:rFonts w:hint="eastAsia" w:ascii="CESI仿宋-GB2312" w:hAnsi="CESI仿宋-GB2312" w:eastAsia="CESI仿宋-GB2312" w:cs="CESI仿宋-GB2312"/>
          <w:sz w:val="32"/>
          <w:szCs w:val="32"/>
        </w:rPr>
        <w:t>农村生活污水处理设施运行维护管理遵循“政府主导、群众参与、属地管理、因地制宜、注重实效”原则，实现“设施完好、管理规范、水质达标、环境良好”目标。</w:t>
      </w:r>
    </w:p>
    <w:p w14:paraId="29558D39">
      <w:pPr>
        <w:keepNext w:val="0"/>
        <w:keepLines w:val="0"/>
        <w:pageBreakBefore w:val="0"/>
        <w:kinsoku/>
        <w:topLinePunct w:val="0"/>
        <w:autoSpaceDE/>
        <w:autoSpaceDN/>
        <w:bidi w:val="0"/>
        <w:adjustRightInd/>
        <w:snapToGrid/>
        <w:spacing w:line="590" w:lineRule="exact"/>
        <w:jc w:val="center"/>
        <w:textAlignment w:val="auto"/>
        <w:rPr>
          <w:rFonts w:ascii="黑体" w:hAnsi="黑体" w:eastAsia="黑体"/>
          <w:sz w:val="32"/>
          <w:szCs w:val="32"/>
        </w:rPr>
      </w:pPr>
      <w:r>
        <w:rPr>
          <w:rFonts w:hint="eastAsia" w:ascii="黑体" w:hAnsi="黑体" w:eastAsia="黑体"/>
          <w:sz w:val="32"/>
          <w:szCs w:val="32"/>
        </w:rPr>
        <w:t>第二章 管理体系</w:t>
      </w:r>
    </w:p>
    <w:p w14:paraId="784014AD">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黑体" w:hAnsi="黑体" w:eastAsia="黑体"/>
          <w:sz w:val="32"/>
          <w:szCs w:val="32"/>
        </w:rPr>
        <w:t xml:space="preserve">第五条 </w:t>
      </w:r>
      <w:r>
        <w:rPr>
          <w:rFonts w:hint="eastAsia" w:ascii="CESI仿宋-GB2312" w:hAnsi="CESI仿宋-GB2312" w:eastAsia="CESI仿宋-GB2312" w:cs="CESI仿宋-GB2312"/>
          <w:sz w:val="32"/>
          <w:szCs w:val="32"/>
        </w:rPr>
        <w:t>建立健全</w:t>
      </w:r>
      <w:r>
        <w:rPr>
          <w:rFonts w:hint="eastAsia" w:ascii="CESI仿宋-GB2312" w:hAnsi="CESI仿宋-GB2312" w:eastAsia="CESI仿宋-GB2312" w:cs="CESI仿宋-GB2312"/>
          <w:sz w:val="32"/>
          <w:szCs w:val="32"/>
          <w:lang w:val="en-US" w:eastAsia="zh-CN"/>
        </w:rPr>
        <w:t>县</w:t>
      </w:r>
      <w:r>
        <w:rPr>
          <w:rFonts w:hint="eastAsia" w:ascii="CESI仿宋-GB2312" w:hAnsi="CESI仿宋-GB2312" w:eastAsia="CESI仿宋-GB2312" w:cs="CESI仿宋-GB2312"/>
          <w:sz w:val="32"/>
          <w:szCs w:val="32"/>
        </w:rPr>
        <w:t>人民政府统筹协调、各相关职能部门监督指导、乡镇</w:t>
      </w:r>
      <w:r>
        <w:rPr>
          <w:rFonts w:hint="eastAsia" w:ascii="CESI仿宋-GB2312" w:hAnsi="CESI仿宋-GB2312" w:eastAsia="CESI仿宋-GB2312" w:cs="CESI仿宋-GB2312"/>
          <w:sz w:val="32"/>
          <w:szCs w:val="32"/>
          <w:lang w:val="en-US" w:eastAsia="zh-CN"/>
        </w:rPr>
        <w:t>人民政府</w:t>
      </w:r>
      <w:r>
        <w:rPr>
          <w:rFonts w:hint="eastAsia" w:ascii="CESI仿宋-GB2312" w:hAnsi="CESI仿宋-GB2312" w:eastAsia="CESI仿宋-GB2312" w:cs="CESI仿宋-GB2312"/>
          <w:sz w:val="32"/>
          <w:szCs w:val="32"/>
        </w:rPr>
        <w:t>实施、村委配合以及运行维护单位提供服务的农村生活污水处理设施运行维护管理体系。乡镇</w:t>
      </w:r>
      <w:r>
        <w:rPr>
          <w:rFonts w:hint="eastAsia" w:ascii="CESI仿宋-GB2312" w:hAnsi="CESI仿宋-GB2312" w:eastAsia="CESI仿宋-GB2312" w:cs="CESI仿宋-GB2312"/>
          <w:sz w:val="32"/>
          <w:szCs w:val="32"/>
          <w:lang w:val="en-US" w:eastAsia="zh-CN"/>
        </w:rPr>
        <w:t>人民政府作为</w:t>
      </w:r>
      <w:r>
        <w:rPr>
          <w:rFonts w:hint="eastAsia" w:ascii="CESI仿宋-GB2312" w:hAnsi="CESI仿宋-GB2312" w:eastAsia="CESI仿宋-GB2312" w:cs="CESI仿宋-GB2312"/>
          <w:sz w:val="32"/>
          <w:szCs w:val="32"/>
        </w:rPr>
        <w:t>运维管理</w:t>
      </w:r>
      <w:r>
        <w:rPr>
          <w:rFonts w:hint="eastAsia" w:ascii="CESI仿宋-GB2312" w:hAnsi="CESI仿宋-GB2312" w:eastAsia="CESI仿宋-GB2312" w:cs="CESI仿宋-GB2312"/>
          <w:sz w:val="32"/>
          <w:szCs w:val="32"/>
          <w:lang w:val="en-US" w:eastAsia="zh-CN"/>
        </w:rPr>
        <w:t>实施</w:t>
      </w:r>
      <w:r>
        <w:rPr>
          <w:rFonts w:hint="eastAsia" w:ascii="CESI仿宋-GB2312" w:hAnsi="CESI仿宋-GB2312" w:eastAsia="CESI仿宋-GB2312" w:cs="CESI仿宋-GB2312"/>
          <w:sz w:val="32"/>
          <w:szCs w:val="32"/>
        </w:rPr>
        <w:t>主体，负责辖区内农村生活污水处理设施的运维管理，监督和指导第三方运维单位、村委和村小组按职责开展日常运维管理。</w:t>
      </w:r>
    </w:p>
    <w:p w14:paraId="57647ADE">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highlight w:val="red"/>
          <w:lang w:eastAsia="zh-CN"/>
        </w:rPr>
      </w:pPr>
      <w:r>
        <w:rPr>
          <w:rFonts w:hint="eastAsia" w:ascii="黑体" w:hAnsi="黑体" w:eastAsia="黑体"/>
          <w:sz w:val="32"/>
          <w:szCs w:val="32"/>
        </w:rPr>
        <w:t xml:space="preserve">第六条 </w:t>
      </w:r>
      <w:r>
        <w:rPr>
          <w:rFonts w:hint="eastAsia" w:ascii="CESI仿宋-GB2312" w:hAnsi="CESI仿宋-GB2312" w:eastAsia="CESI仿宋-GB2312" w:cs="CESI仿宋-GB2312"/>
          <w:sz w:val="32"/>
          <w:szCs w:val="32"/>
          <w:highlight w:val="none"/>
          <w:lang w:val="en-US" w:eastAsia="zh-CN"/>
        </w:rPr>
        <w:t>县农业农村局作为农村生活污水处理设施运行维护工作的牵头单位，负责监督指导全县开展农村生活污水处理设施运行维护工作，</w:t>
      </w:r>
      <w:r>
        <w:rPr>
          <w:rFonts w:hint="eastAsia" w:ascii="CESI仿宋-GB2312" w:hAnsi="CESI仿宋-GB2312" w:eastAsia="CESI仿宋-GB2312" w:cs="CESI仿宋-GB2312"/>
          <w:color w:val="000000" w:themeColor="text1"/>
          <w:sz w:val="32"/>
          <w:szCs w:val="32"/>
          <w:highlight w:val="none"/>
          <w:lang w:val="en-US" w:eastAsia="zh-CN"/>
          <w14:textFill>
            <w14:solidFill>
              <w14:schemeClr w14:val="tx1"/>
            </w14:solidFill>
          </w14:textFill>
        </w:rPr>
        <w:t>牵头开展运维成效评估工作</w:t>
      </w:r>
      <w:r>
        <w:rPr>
          <w:rFonts w:hint="eastAsia" w:ascii="CESI仿宋-GB2312" w:hAnsi="CESI仿宋-GB2312" w:eastAsia="CESI仿宋-GB2312" w:cs="CESI仿宋-GB2312"/>
          <w:sz w:val="32"/>
          <w:szCs w:val="32"/>
          <w:highlight w:val="none"/>
          <w:lang w:val="en-US" w:eastAsia="zh-CN"/>
        </w:rPr>
        <w:t>。市</w:t>
      </w:r>
      <w:r>
        <w:rPr>
          <w:rFonts w:hint="eastAsia" w:ascii="CESI仿宋-GB2312" w:hAnsi="CESI仿宋-GB2312" w:eastAsia="CESI仿宋-GB2312" w:cs="CESI仿宋-GB2312"/>
          <w:sz w:val="32"/>
          <w:szCs w:val="32"/>
          <w:highlight w:val="none"/>
        </w:rPr>
        <w:t>生态环境局</w:t>
      </w:r>
      <w:r>
        <w:rPr>
          <w:rFonts w:hint="eastAsia" w:ascii="CESI仿宋-GB2312" w:hAnsi="CESI仿宋-GB2312" w:eastAsia="CESI仿宋-GB2312" w:cs="CESI仿宋-GB2312"/>
          <w:sz w:val="32"/>
          <w:szCs w:val="32"/>
          <w:highlight w:val="none"/>
          <w:lang w:val="en-US" w:eastAsia="zh-CN"/>
        </w:rPr>
        <w:t>始兴</w:t>
      </w:r>
      <w:r>
        <w:rPr>
          <w:rFonts w:hint="eastAsia" w:ascii="CESI仿宋-GB2312" w:hAnsi="CESI仿宋-GB2312" w:eastAsia="CESI仿宋-GB2312" w:cs="CESI仿宋-GB2312"/>
          <w:sz w:val="32"/>
          <w:szCs w:val="32"/>
          <w:highlight w:val="none"/>
        </w:rPr>
        <w:t>分局</w:t>
      </w:r>
      <w:r>
        <w:rPr>
          <w:rFonts w:hint="eastAsia" w:ascii="CESI仿宋-GB2312" w:hAnsi="CESI仿宋-GB2312" w:eastAsia="CESI仿宋-GB2312" w:cs="CESI仿宋-GB2312"/>
          <w:sz w:val="32"/>
          <w:szCs w:val="32"/>
          <w:highlight w:val="none"/>
          <w:lang w:eastAsia="zh-CN"/>
        </w:rPr>
        <w:t>负责做好农村生活污水常态化</w:t>
      </w:r>
      <w:r>
        <w:rPr>
          <w:rFonts w:hint="eastAsia" w:ascii="CESI仿宋-GB2312" w:hAnsi="CESI仿宋-GB2312" w:eastAsia="CESI仿宋-GB2312" w:cs="CESI仿宋-GB2312"/>
          <w:sz w:val="32"/>
          <w:szCs w:val="32"/>
          <w:highlight w:val="none"/>
          <w:lang w:val="en-US" w:eastAsia="zh-CN"/>
        </w:rPr>
        <w:t>监督管理工作</w:t>
      </w:r>
      <w:r>
        <w:rPr>
          <w:rFonts w:hint="eastAsia" w:ascii="CESI仿宋-GB2312" w:hAnsi="CESI仿宋-GB2312" w:eastAsia="CESI仿宋-GB2312" w:cs="CESI仿宋-GB2312"/>
          <w:sz w:val="32"/>
          <w:szCs w:val="32"/>
          <w:highlight w:val="none"/>
        </w:rPr>
        <w:t>。</w:t>
      </w:r>
    </w:p>
    <w:p w14:paraId="3ADB291C">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lang w:eastAsia="zh-CN"/>
        </w:rPr>
      </w:pPr>
      <w:r>
        <w:rPr>
          <w:rFonts w:hint="eastAsia" w:ascii="黑体" w:hAnsi="黑体" w:eastAsia="黑体"/>
          <w:sz w:val="32"/>
          <w:szCs w:val="32"/>
        </w:rPr>
        <w:t>第</w:t>
      </w:r>
      <w:r>
        <w:rPr>
          <w:rFonts w:hint="eastAsia" w:ascii="黑体" w:hAnsi="黑体" w:eastAsia="黑体"/>
          <w:sz w:val="32"/>
          <w:szCs w:val="32"/>
          <w:lang w:val="en-US" w:eastAsia="zh-CN"/>
        </w:rPr>
        <w:t>七</w:t>
      </w:r>
      <w:r>
        <w:rPr>
          <w:rFonts w:hint="eastAsia" w:ascii="黑体" w:hAnsi="黑体" w:eastAsia="黑体"/>
          <w:sz w:val="32"/>
          <w:szCs w:val="32"/>
        </w:rPr>
        <w:t>条</w:t>
      </w:r>
      <w:r>
        <w:rPr>
          <w:rFonts w:hint="eastAsia" w:ascii="黑体" w:hAnsi="黑体" w:eastAsia="黑体"/>
          <w:sz w:val="32"/>
          <w:szCs w:val="32"/>
          <w:lang w:val="en-US" w:eastAsia="zh-CN"/>
        </w:rPr>
        <w:t xml:space="preserve"> </w:t>
      </w:r>
      <w:r>
        <w:rPr>
          <w:rFonts w:hint="eastAsia" w:ascii="CESI仿宋-GB2312" w:hAnsi="CESI仿宋-GB2312" w:eastAsia="CESI仿宋-GB2312" w:cs="CESI仿宋-GB2312"/>
          <w:sz w:val="32"/>
          <w:szCs w:val="32"/>
          <w:lang w:val="en-US" w:eastAsia="zh-CN"/>
        </w:rPr>
        <w:t>县级农村生活污水治理项目建设单位应于项目竣工验收后，</w:t>
      </w:r>
      <w:r>
        <w:rPr>
          <w:rFonts w:hint="eastAsia" w:ascii="CESI仿宋-GB2312" w:hAnsi="CESI仿宋-GB2312" w:eastAsia="CESI仿宋-GB2312" w:cs="CESI仿宋-GB2312"/>
          <w:sz w:val="32"/>
          <w:szCs w:val="32"/>
        </w:rPr>
        <w:t>向属地镇政府提供项目工程设计、工程合同、竣工验收报告、设施及配套管网清单等资料。</w:t>
      </w:r>
      <w:r>
        <w:rPr>
          <w:rFonts w:hint="eastAsia" w:ascii="CESI仿宋-GB2312" w:hAnsi="CESI仿宋-GB2312" w:eastAsia="CESI仿宋-GB2312" w:cs="CESI仿宋-GB2312"/>
          <w:sz w:val="32"/>
          <w:szCs w:val="32"/>
          <w:lang w:eastAsia="zh-CN"/>
        </w:rPr>
        <w:t>项目建设单位应做好新建和已建成农村生活污水处理设施资产登记录入工作，避免资产流失。</w:t>
      </w:r>
    </w:p>
    <w:p w14:paraId="2F430BE2">
      <w:pPr>
        <w:keepNext w:val="0"/>
        <w:keepLines w:val="0"/>
        <w:pageBreakBefore w:val="0"/>
        <w:widowControl/>
        <w:kinsoku/>
        <w:topLinePunct w:val="0"/>
        <w:autoSpaceDE/>
        <w:autoSpaceDN/>
        <w:bidi w:val="0"/>
        <w:adjustRightInd/>
        <w:snapToGrid/>
        <w:spacing w:line="590" w:lineRule="exact"/>
        <w:ind w:firstLine="640" w:firstLineChars="200"/>
        <w:textAlignment w:val="auto"/>
        <w:rPr>
          <w:rFonts w:ascii="仿宋_GB2312" w:eastAsia="仿宋_GB2312"/>
          <w:sz w:val="32"/>
          <w:szCs w:val="32"/>
        </w:rPr>
      </w:pPr>
      <w:r>
        <w:rPr>
          <w:rFonts w:hint="eastAsia" w:ascii="黑体" w:hAnsi="黑体" w:eastAsia="黑体"/>
          <w:sz w:val="32"/>
          <w:szCs w:val="32"/>
        </w:rPr>
        <w:t>第</w:t>
      </w:r>
      <w:r>
        <w:rPr>
          <w:rFonts w:hint="eastAsia" w:ascii="黑体" w:hAnsi="黑体" w:eastAsia="黑体"/>
          <w:sz w:val="32"/>
          <w:szCs w:val="32"/>
          <w:lang w:val="en-US" w:eastAsia="zh-CN"/>
        </w:rPr>
        <w:t>八</w:t>
      </w:r>
      <w:r>
        <w:rPr>
          <w:rFonts w:hint="eastAsia" w:ascii="黑体" w:hAnsi="黑体" w:eastAsia="黑体"/>
          <w:sz w:val="32"/>
          <w:szCs w:val="32"/>
        </w:rPr>
        <w:t xml:space="preserve">条 </w:t>
      </w:r>
      <w:r>
        <w:rPr>
          <w:rFonts w:hint="eastAsia" w:ascii="CESI仿宋-GB2312" w:hAnsi="CESI仿宋-GB2312" w:eastAsia="CESI仿宋-GB2312" w:cs="CESI仿宋-GB2312"/>
          <w:sz w:val="32"/>
          <w:szCs w:val="32"/>
        </w:rPr>
        <w:t>乡镇应结合实际治理情况，制定运行维护管理日常工作制度，落实运行维护管理人员，协助</w:t>
      </w:r>
      <w:r>
        <w:rPr>
          <w:rFonts w:hint="eastAsia" w:ascii="CESI仿宋-GB2312" w:hAnsi="CESI仿宋-GB2312" w:eastAsia="CESI仿宋-GB2312" w:cs="CESI仿宋-GB2312"/>
          <w:sz w:val="32"/>
          <w:szCs w:val="32"/>
          <w:lang w:val="en-US" w:eastAsia="zh-CN"/>
        </w:rPr>
        <w:t>运行维护</w:t>
      </w:r>
      <w:r>
        <w:rPr>
          <w:rFonts w:hint="eastAsia" w:ascii="CESI仿宋-GB2312" w:hAnsi="CESI仿宋-GB2312" w:eastAsia="CESI仿宋-GB2312" w:cs="CESI仿宋-GB2312"/>
          <w:sz w:val="32"/>
          <w:szCs w:val="32"/>
        </w:rPr>
        <w:t>单位进入村内作业；协调村委配合巡查、清淤等工作；对村民私接乱排行为进行劝导和上报。规范管理管网、设施相关档案资料</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含工程资料、运维巡查资料和大中小修资料等</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，监督</w:t>
      </w:r>
      <w:r>
        <w:rPr>
          <w:rFonts w:hint="eastAsia" w:ascii="CESI仿宋-GB2312" w:hAnsi="CESI仿宋-GB2312" w:eastAsia="CESI仿宋-GB2312" w:cs="CESI仿宋-GB2312"/>
          <w:sz w:val="32"/>
          <w:szCs w:val="32"/>
          <w:lang w:val="en-US" w:eastAsia="zh-CN"/>
        </w:rPr>
        <w:t>运维</w:t>
      </w:r>
      <w:r>
        <w:rPr>
          <w:rFonts w:hint="eastAsia" w:ascii="CESI仿宋-GB2312" w:hAnsi="CESI仿宋-GB2312" w:eastAsia="CESI仿宋-GB2312" w:cs="CESI仿宋-GB2312"/>
          <w:sz w:val="32"/>
          <w:szCs w:val="32"/>
        </w:rPr>
        <w:t>单位</w:t>
      </w:r>
      <w:r>
        <w:rPr>
          <w:rFonts w:hint="eastAsia" w:ascii="CESI仿宋-GB2312" w:hAnsi="CESI仿宋-GB2312" w:eastAsia="CESI仿宋-GB2312" w:cs="CESI仿宋-GB2312"/>
          <w:sz w:val="32"/>
          <w:szCs w:val="32"/>
          <w:lang w:val="en-US" w:eastAsia="zh-CN"/>
        </w:rPr>
        <w:t>开展工作，包含定期提交巡查记录台账</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val="en-US" w:eastAsia="zh-CN"/>
        </w:rPr>
        <w:t>存在问题应急维修等，</w:t>
      </w:r>
      <w:r>
        <w:rPr>
          <w:rFonts w:hint="eastAsia" w:ascii="CESI仿宋-GB2312" w:hAnsi="CESI仿宋-GB2312" w:eastAsia="CESI仿宋-GB2312" w:cs="CESI仿宋-GB2312"/>
          <w:sz w:val="32"/>
          <w:szCs w:val="32"/>
        </w:rPr>
        <w:t>指导督促村委、农户按职责开展日常运行维护管理。落实运维管理工作考核制度。</w:t>
      </w:r>
    </w:p>
    <w:p w14:paraId="57718591">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黑体" w:hAnsi="黑体" w:eastAsia="黑体"/>
          <w:sz w:val="32"/>
          <w:szCs w:val="32"/>
        </w:rPr>
        <w:t>第</w:t>
      </w:r>
      <w:r>
        <w:rPr>
          <w:rFonts w:hint="eastAsia" w:ascii="黑体" w:hAnsi="黑体" w:eastAsia="黑体"/>
          <w:sz w:val="32"/>
          <w:szCs w:val="32"/>
          <w:lang w:val="en-US" w:eastAsia="zh-CN"/>
        </w:rPr>
        <w:t>九</w:t>
      </w:r>
      <w:r>
        <w:rPr>
          <w:rFonts w:hint="eastAsia" w:ascii="黑体" w:hAnsi="黑体" w:eastAsia="黑体"/>
          <w:sz w:val="32"/>
          <w:szCs w:val="32"/>
        </w:rPr>
        <w:t xml:space="preserve">条 </w:t>
      </w:r>
      <w:r>
        <w:rPr>
          <w:rFonts w:hint="eastAsia" w:ascii="CESI仿宋-GB2312" w:hAnsi="CESI仿宋-GB2312" w:eastAsia="CESI仿宋-GB2312" w:cs="CESI仿宋-GB2312"/>
          <w:sz w:val="32"/>
          <w:szCs w:val="32"/>
        </w:rPr>
        <w:t>村委应当在乡镇指导下，配合运行维护单位开展设施及管网的日常巡查等工作；完善村规民约，引导、督促新建房屋污水接入，组织村民自觉管理院内管网、化粪池，及时清理周边环境卫生等。</w:t>
      </w:r>
    </w:p>
    <w:p w14:paraId="4FB3FBBE">
      <w:pPr>
        <w:keepNext w:val="0"/>
        <w:keepLines w:val="0"/>
        <w:pageBreakBefore w:val="0"/>
        <w:kinsoku/>
        <w:topLinePunct w:val="0"/>
        <w:autoSpaceDE/>
        <w:autoSpaceDN/>
        <w:bidi w:val="0"/>
        <w:adjustRightInd/>
        <w:snapToGrid/>
        <w:spacing w:line="590" w:lineRule="exact"/>
        <w:ind w:firstLine="640" w:firstLineChars="200"/>
        <w:textAlignment w:val="auto"/>
        <w:rPr>
          <w:rFonts w:ascii="仿宋_GB2312" w:eastAsia="仿宋_GB2312"/>
          <w:sz w:val="32"/>
          <w:szCs w:val="32"/>
        </w:rPr>
      </w:pPr>
      <w:r>
        <w:rPr>
          <w:rFonts w:hint="eastAsia" w:ascii="黑体" w:hAnsi="黑体" w:eastAsia="黑体"/>
          <w:sz w:val="32"/>
          <w:szCs w:val="32"/>
        </w:rPr>
        <w:t>第十条</w:t>
      </w:r>
      <w:r>
        <w:rPr>
          <w:rFonts w:hint="eastAsia" w:ascii="CESI仿宋-GB2312" w:hAnsi="CESI仿宋-GB2312" w:eastAsia="CESI仿宋-GB2312" w:cs="CESI仿宋-GB2312"/>
          <w:sz w:val="32"/>
          <w:szCs w:val="32"/>
        </w:rPr>
        <w:t xml:space="preserve"> 农户是生活污水治理的受益主体，应当定期主动检查自家冲厕、洗涤、洗浴和厨房排水的接入状况，做好化粪池、接户管、户用检查井渗漏、堵塞和破损等的维修更换，自觉管理房前屋后污水管网、清扫井及周边环境卫生等。农户新建、改建、扩建房屋的，应当按照雨污分流、污水排放管道收集或暗渠化的要求同步建设污水输送管道，将自家生活污水接入污水管网。</w:t>
      </w:r>
    </w:p>
    <w:p w14:paraId="1EC0B168">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highlight w:val="none"/>
        </w:rPr>
      </w:pPr>
      <w:r>
        <w:rPr>
          <w:rFonts w:hint="eastAsia" w:ascii="黑体" w:hAnsi="黑体" w:eastAsia="黑体"/>
          <w:sz w:val="32"/>
          <w:szCs w:val="32"/>
        </w:rPr>
        <w:t>第十</w:t>
      </w:r>
      <w:r>
        <w:rPr>
          <w:rFonts w:hint="eastAsia" w:ascii="黑体" w:hAnsi="黑体" w:eastAsia="黑体"/>
          <w:sz w:val="32"/>
          <w:szCs w:val="32"/>
          <w:lang w:val="en-US" w:eastAsia="zh-CN"/>
        </w:rPr>
        <w:t>一</w:t>
      </w:r>
      <w:r>
        <w:rPr>
          <w:rFonts w:hint="eastAsia" w:ascii="黑体" w:hAnsi="黑体" w:eastAsia="黑体"/>
          <w:sz w:val="32"/>
          <w:szCs w:val="32"/>
        </w:rPr>
        <w:t>条</w:t>
      </w:r>
      <w:r>
        <w:rPr>
          <w:rFonts w:hint="eastAsia" w:ascii="黑体" w:hAnsi="黑体" w:eastAsia="黑体"/>
          <w:sz w:val="32"/>
          <w:szCs w:val="32"/>
          <w:highlight w:val="none"/>
        </w:rPr>
        <w:t xml:space="preserve"> </w:t>
      </w:r>
      <w:r>
        <w:rPr>
          <w:rFonts w:hint="eastAsia" w:ascii="CESI仿宋-GB2312" w:hAnsi="CESI仿宋-GB2312" w:eastAsia="CESI仿宋-GB2312" w:cs="CESI仿宋-GB2312"/>
          <w:sz w:val="32"/>
          <w:szCs w:val="32"/>
          <w:highlight w:val="none"/>
        </w:rPr>
        <w:t>运行维护单位应当制定维护手册、操作规程、安全规章和工作制度，配备具有相应专业技能和安全知识的运维人员，做好污水收集系统和处理系统的日常运行、定期养护、应急维修、巡查检查和生产台账记录等工作，确保污水有效收集、设施正常运行、出水稳定达标及周边环境良好，定期向所属乡镇报告运行维护情况。</w:t>
      </w:r>
    </w:p>
    <w:p w14:paraId="0382A2A8">
      <w:pPr>
        <w:keepNext w:val="0"/>
        <w:keepLines w:val="0"/>
        <w:pageBreakBefore w:val="0"/>
        <w:kinsoku/>
        <w:topLinePunct w:val="0"/>
        <w:autoSpaceDE/>
        <w:autoSpaceDN/>
        <w:bidi w:val="0"/>
        <w:adjustRightInd/>
        <w:snapToGrid/>
        <w:spacing w:line="590" w:lineRule="exact"/>
        <w:jc w:val="center"/>
        <w:textAlignment w:val="auto"/>
        <w:rPr>
          <w:rFonts w:ascii="黑体" w:hAnsi="黑体" w:eastAsia="黑体"/>
          <w:sz w:val="32"/>
          <w:szCs w:val="32"/>
        </w:rPr>
      </w:pPr>
      <w:r>
        <w:rPr>
          <w:rFonts w:hint="eastAsia" w:ascii="黑体" w:hAnsi="黑体" w:eastAsia="黑体"/>
          <w:sz w:val="32"/>
          <w:szCs w:val="32"/>
        </w:rPr>
        <w:t>第三章 运维管理</w:t>
      </w:r>
    </w:p>
    <w:p w14:paraId="6275B680">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黑体" w:hAnsi="黑体" w:eastAsia="黑体"/>
          <w:sz w:val="32"/>
          <w:szCs w:val="32"/>
        </w:rPr>
        <w:t>第十</w:t>
      </w:r>
      <w:r>
        <w:rPr>
          <w:rFonts w:hint="eastAsia" w:ascii="黑体" w:hAnsi="黑体" w:eastAsia="黑体"/>
          <w:sz w:val="32"/>
          <w:szCs w:val="32"/>
          <w:lang w:val="en-US" w:eastAsia="zh-CN"/>
        </w:rPr>
        <w:t>二</w:t>
      </w:r>
      <w:r>
        <w:rPr>
          <w:rFonts w:hint="eastAsia" w:ascii="黑体" w:hAnsi="黑体" w:eastAsia="黑体"/>
          <w:sz w:val="32"/>
          <w:szCs w:val="32"/>
        </w:rPr>
        <w:t xml:space="preserve">条 </w:t>
      </w:r>
      <w:r>
        <w:rPr>
          <w:rFonts w:hint="eastAsia" w:ascii="CESI仿宋-GB2312" w:hAnsi="CESI仿宋-GB2312" w:eastAsia="CESI仿宋-GB2312" w:cs="CESI仿宋-GB2312"/>
          <w:sz w:val="32"/>
          <w:szCs w:val="32"/>
        </w:rPr>
        <w:t>各乡镇人民政府根据农村生活污水处理设施规模、工艺类型等实际情况，</w:t>
      </w:r>
      <w:r>
        <w:rPr>
          <w:rFonts w:hint="eastAsia" w:ascii="CESI仿宋-GB2312" w:hAnsi="CESI仿宋-GB2312" w:eastAsia="CESI仿宋-GB2312" w:cs="CESI仿宋-GB2312"/>
          <w:sz w:val="32"/>
          <w:szCs w:val="32"/>
          <w:highlight w:val="none"/>
          <w:lang w:val="en-US" w:eastAsia="zh-CN"/>
        </w:rPr>
        <w:t>委托第三方或自行开展</w:t>
      </w:r>
      <w:r>
        <w:rPr>
          <w:rFonts w:hint="eastAsia" w:ascii="CESI仿宋-GB2312" w:hAnsi="CESI仿宋-GB2312" w:eastAsia="CESI仿宋-GB2312" w:cs="CESI仿宋-GB2312"/>
          <w:sz w:val="32"/>
          <w:szCs w:val="32"/>
          <w:lang w:val="en-US" w:eastAsia="zh-CN"/>
        </w:rPr>
        <w:t>农村生活污水处</w:t>
      </w:r>
      <w:r>
        <w:rPr>
          <w:rFonts w:hint="eastAsia" w:ascii="CESI仿宋-GB2312" w:hAnsi="CESI仿宋-GB2312" w:eastAsia="CESI仿宋-GB2312" w:cs="CESI仿宋-GB2312"/>
          <w:sz w:val="32"/>
          <w:szCs w:val="32"/>
          <w:highlight w:val="none"/>
          <w:lang w:val="en-US" w:eastAsia="zh-CN"/>
        </w:rPr>
        <w:t>理设施及配套收集系统的运维管护工作，</w:t>
      </w:r>
      <w:r>
        <w:rPr>
          <w:rFonts w:hint="eastAsia" w:ascii="CESI仿宋-GB2312" w:hAnsi="CESI仿宋-GB2312" w:eastAsia="CESI仿宋-GB2312" w:cs="CESI仿宋-GB2312"/>
          <w:sz w:val="32"/>
          <w:szCs w:val="32"/>
          <w:highlight w:val="none"/>
        </w:rPr>
        <w:t>由县财政局</w:t>
      </w:r>
      <w:r>
        <w:rPr>
          <w:rFonts w:hint="eastAsia" w:ascii="CESI仿宋-GB2312" w:hAnsi="CESI仿宋-GB2312" w:eastAsia="CESI仿宋-GB2312" w:cs="CESI仿宋-GB2312"/>
          <w:sz w:val="32"/>
          <w:szCs w:val="32"/>
          <w:highlight w:val="none"/>
          <w:lang w:eastAsia="zh-CN"/>
        </w:rPr>
        <w:t>统筹</w:t>
      </w:r>
      <w:r>
        <w:rPr>
          <w:rFonts w:hint="eastAsia" w:ascii="CESI仿宋-GB2312" w:hAnsi="CESI仿宋-GB2312" w:eastAsia="CESI仿宋-GB2312" w:cs="CESI仿宋-GB2312"/>
          <w:sz w:val="32"/>
          <w:szCs w:val="32"/>
          <w:highlight w:val="none"/>
        </w:rPr>
        <w:t>安排运维专项经费。</w:t>
      </w:r>
    </w:p>
    <w:p w14:paraId="407015DF">
      <w:pPr>
        <w:keepNext w:val="0"/>
        <w:keepLines w:val="0"/>
        <w:pageBreakBefore w:val="0"/>
        <w:kinsoku/>
        <w:topLinePunct w:val="0"/>
        <w:autoSpaceDE/>
        <w:autoSpaceDN/>
        <w:bidi w:val="0"/>
        <w:adjustRightInd/>
        <w:snapToGrid/>
        <w:spacing w:line="590" w:lineRule="exact"/>
        <w:ind w:firstLine="640" w:firstLineChars="200"/>
        <w:textAlignment w:val="auto"/>
        <w:rPr>
          <w:rFonts w:ascii="黑体" w:hAnsi="黑体" w:eastAsia="仿宋_GB2312"/>
          <w:sz w:val="32"/>
          <w:szCs w:val="32"/>
        </w:rPr>
      </w:pPr>
      <w:r>
        <w:rPr>
          <w:rFonts w:hint="eastAsia" w:ascii="黑体" w:hAnsi="黑体" w:eastAsia="黑体"/>
          <w:sz w:val="32"/>
          <w:szCs w:val="32"/>
        </w:rPr>
        <w:t>第十</w:t>
      </w:r>
      <w:r>
        <w:rPr>
          <w:rFonts w:hint="eastAsia" w:ascii="黑体" w:hAnsi="黑体" w:eastAsia="黑体"/>
          <w:sz w:val="32"/>
          <w:szCs w:val="32"/>
          <w:lang w:val="en-US" w:eastAsia="zh-CN"/>
        </w:rPr>
        <w:t>三</w:t>
      </w:r>
      <w:r>
        <w:rPr>
          <w:rFonts w:hint="eastAsia" w:ascii="黑体" w:hAnsi="黑体" w:eastAsia="黑体"/>
          <w:sz w:val="32"/>
          <w:szCs w:val="32"/>
        </w:rPr>
        <w:t xml:space="preserve">条 </w:t>
      </w:r>
      <w:r>
        <w:rPr>
          <w:rFonts w:hint="eastAsia" w:ascii="CESI仿宋-GB2312" w:hAnsi="CESI仿宋-GB2312" w:eastAsia="CESI仿宋-GB2312" w:cs="CESI仿宋-GB2312"/>
          <w:sz w:val="32"/>
          <w:szCs w:val="32"/>
        </w:rPr>
        <w:t>农村生活污水治理工程项目竣工验收后，质保期内应由施工单位负责设施管渠的运维管理工作，保障新建工程正常运行，质保期结束后，将工程相关资料移交给运维单位。</w:t>
      </w:r>
    </w:p>
    <w:p w14:paraId="749C1D54">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黑体" w:hAnsi="黑体" w:eastAsia="黑体"/>
          <w:sz w:val="32"/>
          <w:szCs w:val="32"/>
        </w:rPr>
        <w:t>第十</w:t>
      </w:r>
      <w:r>
        <w:rPr>
          <w:rFonts w:hint="eastAsia" w:ascii="黑体" w:hAnsi="黑体" w:eastAsia="黑体"/>
          <w:sz w:val="32"/>
          <w:szCs w:val="32"/>
          <w:lang w:val="en-US" w:eastAsia="zh-CN"/>
        </w:rPr>
        <w:t>四</w:t>
      </w:r>
      <w:r>
        <w:rPr>
          <w:rFonts w:hint="eastAsia" w:ascii="黑体" w:hAnsi="黑体" w:eastAsia="黑体"/>
          <w:sz w:val="32"/>
          <w:szCs w:val="32"/>
        </w:rPr>
        <w:t xml:space="preserve">条 </w:t>
      </w:r>
      <w:r>
        <w:rPr>
          <w:rFonts w:hint="eastAsia" w:ascii="CESI仿宋-GB2312" w:hAnsi="CESI仿宋-GB2312" w:eastAsia="CESI仿宋-GB2312" w:cs="CESI仿宋-GB2312"/>
          <w:sz w:val="32"/>
          <w:szCs w:val="32"/>
        </w:rPr>
        <w:t xml:space="preserve">运行维护服务合同，应当明确双方权利义务。运行维护服务合同须载明下列内容： </w:t>
      </w:r>
    </w:p>
    <w:p w14:paraId="3EC95E61">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（一）巡查检查、清渣清淤、维修更换、检测等运行维护的具体要求；</w:t>
      </w:r>
    </w:p>
    <w:p w14:paraId="00CB15A1">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（二）处理设施的交付条件；</w:t>
      </w:r>
    </w:p>
    <w:p w14:paraId="3506EF47">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（三）运行维护费用的收付；</w:t>
      </w:r>
    </w:p>
    <w:p w14:paraId="6A400ED6">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（四）因作业不当导致人员伤亡的安全责任划分；</w:t>
      </w:r>
    </w:p>
    <w:p w14:paraId="5500BE7E">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（五）违约责任；</w:t>
      </w:r>
    </w:p>
    <w:p w14:paraId="4B06599E">
      <w:pPr>
        <w:keepNext w:val="0"/>
        <w:keepLines w:val="0"/>
        <w:pageBreakBefore w:val="0"/>
        <w:kinsoku/>
        <w:topLinePunct w:val="0"/>
        <w:autoSpaceDE/>
        <w:autoSpaceDN/>
        <w:bidi w:val="0"/>
        <w:adjustRightInd/>
        <w:snapToGrid/>
        <w:spacing w:line="590" w:lineRule="exact"/>
        <w:ind w:firstLine="640" w:firstLineChars="200"/>
        <w:textAlignment w:val="auto"/>
        <w:rPr>
          <w:rFonts w:ascii="仿宋_GB2312" w:eastAsia="仿宋_GB2312"/>
          <w:sz w:val="32"/>
          <w:szCs w:val="32"/>
        </w:rPr>
      </w:pPr>
      <w:r>
        <w:rPr>
          <w:rFonts w:hint="eastAsia" w:ascii="CESI仿宋-GB2312" w:hAnsi="CESI仿宋-GB2312" w:eastAsia="CESI仿宋-GB2312" w:cs="CESI仿宋-GB2312"/>
          <w:sz w:val="32"/>
          <w:szCs w:val="32"/>
        </w:rPr>
        <w:t>（六）其他需要约定的内容。</w:t>
      </w:r>
    </w:p>
    <w:p w14:paraId="6AE75DB8">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黑体" w:hAnsi="黑体" w:eastAsia="黑体"/>
          <w:sz w:val="32"/>
          <w:szCs w:val="32"/>
        </w:rPr>
        <w:t>第十</w:t>
      </w:r>
      <w:r>
        <w:rPr>
          <w:rFonts w:hint="eastAsia" w:ascii="黑体" w:hAnsi="黑体" w:eastAsia="黑体"/>
          <w:sz w:val="32"/>
          <w:szCs w:val="32"/>
          <w:lang w:val="en-US" w:eastAsia="zh-CN"/>
        </w:rPr>
        <w:t>五</w:t>
      </w:r>
      <w:r>
        <w:rPr>
          <w:rFonts w:hint="eastAsia" w:ascii="黑体" w:hAnsi="黑体" w:eastAsia="黑体"/>
          <w:sz w:val="32"/>
          <w:szCs w:val="32"/>
        </w:rPr>
        <w:t xml:space="preserve">条 </w:t>
      </w:r>
      <w:r>
        <w:rPr>
          <w:rFonts w:hint="eastAsia" w:ascii="CESI仿宋-GB2312" w:hAnsi="CESI仿宋-GB2312" w:eastAsia="CESI仿宋-GB2312" w:cs="CESI仿宋-GB2312"/>
          <w:sz w:val="32"/>
          <w:szCs w:val="32"/>
        </w:rPr>
        <w:t>农村生活污水处理设施运行维护管理须包括以下内容：</w:t>
      </w:r>
    </w:p>
    <w:p w14:paraId="34120C6C">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（一）对污水收集管网、沟渠、检查井、格栅池、沉砂池、调节池（含资源化利用预处理设施）、处理设施和出水井等构筑物进行全面巡查，检查各类井盖的完整性、安全性，发现损坏及时修复</w:t>
      </w:r>
      <w:r>
        <w:rPr>
          <w:rFonts w:hint="eastAsia" w:ascii="CESI仿宋-GB2312" w:hAnsi="CESI仿宋-GB2312" w:eastAsia="CESI仿宋-GB2312" w:cs="CESI仿宋-GB2312"/>
          <w:sz w:val="32"/>
          <w:szCs w:val="32"/>
          <w:lang w:eastAsia="zh-CN"/>
        </w:rPr>
        <w:t>，属于小修类问题的由运维单位直接使用运维经费进行修复</w:t>
      </w:r>
      <w:r>
        <w:rPr>
          <w:rFonts w:hint="eastAsia" w:ascii="CESI仿宋-GB2312" w:hAnsi="CESI仿宋-GB2312" w:eastAsia="CESI仿宋-GB2312" w:cs="CESI仿宋-GB2312"/>
          <w:sz w:val="32"/>
          <w:szCs w:val="32"/>
        </w:rPr>
        <w:t>；</w:t>
      </w:r>
    </w:p>
    <w:p w14:paraId="7F8A5C88">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二</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对村内“三基本”情况进行全面巡查，发现污水横流、污水积存等情况及时上报；</w:t>
      </w:r>
    </w:p>
    <w:p w14:paraId="365A52F3">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val="en-US" w:eastAsia="zh-CN"/>
        </w:rPr>
        <w:t>三</w:t>
      </w:r>
      <w:r>
        <w:rPr>
          <w:rFonts w:hint="eastAsia" w:ascii="CESI仿宋-GB2312" w:hAnsi="CESI仿宋-GB2312" w:eastAsia="CESI仿宋-GB2312" w:cs="CESI仿宋-GB2312"/>
          <w:sz w:val="32"/>
          <w:szCs w:val="32"/>
        </w:rPr>
        <w:t>）对污水收集管网、沟渠、检查井、格栅池、沉砂池、调节池（含资源化利用预处理设施）、处理设施和出水井进行清渣清淤维护，发现堵塞及时疏通；</w:t>
      </w:r>
    </w:p>
    <w:p w14:paraId="21623DAE">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val="en-US" w:eastAsia="zh-CN"/>
        </w:rPr>
        <w:t>四</w:t>
      </w:r>
      <w:r>
        <w:rPr>
          <w:rFonts w:hint="eastAsia" w:ascii="CESI仿宋-GB2312" w:hAnsi="CESI仿宋-GB2312" w:eastAsia="CESI仿宋-GB2312" w:cs="CESI仿宋-GB2312"/>
          <w:sz w:val="32"/>
          <w:szCs w:val="32"/>
        </w:rPr>
        <w:t>）对水泵、风机等机电设备及电力电缆运行情况进行检查，出现故障及时维修更换；</w:t>
      </w:r>
    </w:p>
    <w:p w14:paraId="1285BF39">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val="en-US" w:eastAsia="zh-CN"/>
        </w:rPr>
        <w:t>五</w:t>
      </w:r>
      <w:r>
        <w:rPr>
          <w:rFonts w:hint="eastAsia" w:ascii="CESI仿宋-GB2312" w:hAnsi="CESI仿宋-GB2312" w:eastAsia="CESI仿宋-GB2312" w:cs="CESI仿宋-GB2312"/>
          <w:sz w:val="32"/>
          <w:szCs w:val="32"/>
        </w:rPr>
        <w:t>）对进出水水量、水质进行观察记录，发现异常及时排查检修；</w:t>
      </w:r>
    </w:p>
    <w:p w14:paraId="13FA134A">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val="en-US" w:eastAsia="zh-CN"/>
        </w:rPr>
        <w:t>六</w:t>
      </w:r>
      <w:r>
        <w:rPr>
          <w:rFonts w:hint="eastAsia" w:ascii="CESI仿宋-GB2312" w:hAnsi="CESI仿宋-GB2312" w:eastAsia="CESI仿宋-GB2312" w:cs="CESI仿宋-GB2312"/>
          <w:sz w:val="32"/>
          <w:szCs w:val="32"/>
        </w:rPr>
        <w:t>）对出现较严重情况，如地面沉降等可能影响处理设施正常运行的问题，及时处理并向</w:t>
      </w:r>
      <w:r>
        <w:rPr>
          <w:rFonts w:hint="eastAsia" w:ascii="CESI仿宋-GB2312" w:hAnsi="CESI仿宋-GB2312" w:eastAsia="CESI仿宋-GB2312" w:cs="CESI仿宋-GB2312"/>
          <w:sz w:val="32"/>
          <w:szCs w:val="32"/>
          <w:lang w:val="en-US" w:eastAsia="zh-CN"/>
        </w:rPr>
        <w:t>业主</w:t>
      </w:r>
      <w:r>
        <w:rPr>
          <w:rFonts w:hint="eastAsia" w:ascii="CESI仿宋-GB2312" w:hAnsi="CESI仿宋-GB2312" w:eastAsia="CESI仿宋-GB2312" w:cs="CESI仿宋-GB2312"/>
          <w:sz w:val="32"/>
          <w:szCs w:val="32"/>
        </w:rPr>
        <w:t>报告。</w:t>
      </w:r>
    </w:p>
    <w:p w14:paraId="08A3869F">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黑体" w:hAnsi="黑体" w:eastAsia="黑体"/>
          <w:sz w:val="32"/>
          <w:szCs w:val="32"/>
        </w:rPr>
        <w:t>第十</w:t>
      </w:r>
      <w:r>
        <w:rPr>
          <w:rFonts w:hint="eastAsia" w:ascii="黑体" w:hAnsi="黑体" w:eastAsia="黑体"/>
          <w:sz w:val="32"/>
          <w:szCs w:val="32"/>
          <w:lang w:val="en-US" w:eastAsia="zh-CN"/>
        </w:rPr>
        <w:t>六</w:t>
      </w:r>
      <w:r>
        <w:rPr>
          <w:rFonts w:hint="eastAsia" w:ascii="黑体" w:hAnsi="黑体" w:eastAsia="黑体"/>
          <w:sz w:val="32"/>
          <w:szCs w:val="32"/>
        </w:rPr>
        <w:t xml:space="preserve">条 </w:t>
      </w:r>
      <w:r>
        <w:rPr>
          <w:rFonts w:hint="eastAsia" w:ascii="CESI仿宋-GB2312" w:hAnsi="CESI仿宋-GB2312" w:eastAsia="CESI仿宋-GB2312" w:cs="CESI仿宋-GB2312"/>
          <w:sz w:val="32"/>
          <w:szCs w:val="32"/>
        </w:rPr>
        <w:t>不同类型自然村巡查管护需达到以下要求：</w:t>
      </w:r>
    </w:p>
    <w:p w14:paraId="5E4E0696">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（一）采用建设设施模式的自然村，</w:t>
      </w:r>
      <w:r>
        <w:rPr>
          <w:rFonts w:hint="eastAsia" w:ascii="CESI仿宋-GB2312" w:hAnsi="CESI仿宋-GB2312" w:eastAsia="CESI仿宋-GB2312" w:cs="CESI仿宋-GB2312"/>
          <w:sz w:val="32"/>
          <w:szCs w:val="32"/>
          <w:lang w:val="en-US" w:eastAsia="zh-CN"/>
        </w:rPr>
        <w:t>原则上</w:t>
      </w:r>
      <w:r>
        <w:rPr>
          <w:rFonts w:hint="eastAsia" w:ascii="CESI仿宋-GB2312" w:hAnsi="CESI仿宋-GB2312" w:eastAsia="CESI仿宋-GB2312" w:cs="CESI仿宋-GB2312"/>
          <w:sz w:val="32"/>
          <w:szCs w:val="32"/>
        </w:rPr>
        <w:t>设施站点日常巡查应不少于</w:t>
      </w:r>
      <w:r>
        <w:rPr>
          <w:rFonts w:hint="eastAsia" w:ascii="CESI仿宋-GB2312" w:hAnsi="CESI仿宋-GB2312" w:eastAsia="CESI仿宋-GB2312" w:cs="CESI仿宋-GB2312"/>
          <w:sz w:val="32"/>
          <w:szCs w:val="32"/>
          <w:lang w:eastAsia="zh-CN"/>
        </w:rPr>
        <w:t>每半月</w:t>
      </w:r>
      <w:r>
        <w:rPr>
          <w:rFonts w:hint="eastAsia" w:ascii="CESI仿宋-GB2312" w:hAnsi="CESI仿宋-GB2312" w:eastAsia="CESI仿宋-GB2312" w:cs="CESI仿宋-GB2312"/>
          <w:sz w:val="32"/>
          <w:szCs w:val="32"/>
        </w:rPr>
        <w:t>一次，</w:t>
      </w:r>
      <w:r>
        <w:rPr>
          <w:rFonts w:hint="eastAsia" w:ascii="CESI仿宋-GB2312" w:hAnsi="CESI仿宋-GB2312" w:eastAsia="CESI仿宋-GB2312" w:cs="CESI仿宋-GB2312"/>
          <w:sz w:val="32"/>
          <w:szCs w:val="32"/>
          <w:lang w:val="en-US" w:eastAsia="zh-CN"/>
        </w:rPr>
        <w:t>村内“三基本”及管渠</w:t>
      </w:r>
      <w:r>
        <w:rPr>
          <w:rFonts w:hint="eastAsia" w:ascii="CESI仿宋-GB2312" w:hAnsi="CESI仿宋-GB2312" w:eastAsia="CESI仿宋-GB2312" w:cs="CESI仿宋-GB2312"/>
          <w:sz w:val="32"/>
          <w:szCs w:val="32"/>
        </w:rPr>
        <w:t>日常巡查应不少于</w:t>
      </w:r>
      <w:r>
        <w:rPr>
          <w:rFonts w:hint="eastAsia" w:ascii="CESI仿宋-GB2312" w:hAnsi="CESI仿宋-GB2312" w:eastAsia="CESI仿宋-GB2312" w:cs="CESI仿宋-GB2312"/>
          <w:sz w:val="32"/>
          <w:szCs w:val="32"/>
          <w:lang w:eastAsia="zh-CN"/>
        </w:rPr>
        <w:t>每月</w:t>
      </w:r>
      <w:r>
        <w:rPr>
          <w:rFonts w:hint="eastAsia" w:ascii="CESI仿宋-GB2312" w:hAnsi="CESI仿宋-GB2312" w:eastAsia="CESI仿宋-GB2312" w:cs="CESI仿宋-GB2312"/>
          <w:sz w:val="32"/>
          <w:szCs w:val="32"/>
        </w:rPr>
        <w:t>一次。</w:t>
      </w:r>
    </w:p>
    <w:p w14:paraId="07A0BC2F">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（二）采用纳厂模式的自然村，如设有提升泵站，</w:t>
      </w:r>
      <w:r>
        <w:rPr>
          <w:rFonts w:hint="eastAsia" w:ascii="CESI仿宋-GB2312" w:hAnsi="CESI仿宋-GB2312" w:eastAsia="CESI仿宋-GB2312" w:cs="CESI仿宋-GB2312"/>
          <w:sz w:val="32"/>
          <w:szCs w:val="32"/>
          <w:lang w:val="en-US" w:eastAsia="zh-CN"/>
        </w:rPr>
        <w:t>原则上</w:t>
      </w:r>
      <w:r>
        <w:rPr>
          <w:rFonts w:hint="eastAsia" w:ascii="CESI仿宋-GB2312" w:hAnsi="CESI仿宋-GB2312" w:eastAsia="CESI仿宋-GB2312" w:cs="CESI仿宋-GB2312"/>
          <w:sz w:val="32"/>
          <w:szCs w:val="32"/>
        </w:rPr>
        <w:t>日常巡查应不少于半月一次，</w:t>
      </w:r>
      <w:r>
        <w:rPr>
          <w:rFonts w:hint="eastAsia" w:ascii="CESI仿宋-GB2312" w:hAnsi="CESI仿宋-GB2312" w:eastAsia="CESI仿宋-GB2312" w:cs="CESI仿宋-GB2312"/>
          <w:sz w:val="32"/>
          <w:szCs w:val="32"/>
          <w:lang w:val="en-US" w:eastAsia="zh-CN"/>
        </w:rPr>
        <w:t>村内“三基本”及管渠</w:t>
      </w:r>
      <w:r>
        <w:rPr>
          <w:rFonts w:hint="eastAsia" w:ascii="CESI仿宋-GB2312" w:hAnsi="CESI仿宋-GB2312" w:eastAsia="CESI仿宋-GB2312" w:cs="CESI仿宋-GB2312"/>
          <w:sz w:val="32"/>
          <w:szCs w:val="32"/>
        </w:rPr>
        <w:t>日常巡查应不少于</w:t>
      </w:r>
      <w:r>
        <w:rPr>
          <w:rFonts w:hint="eastAsia" w:ascii="CESI仿宋-GB2312" w:hAnsi="CESI仿宋-GB2312" w:eastAsia="CESI仿宋-GB2312" w:cs="CESI仿宋-GB2312"/>
          <w:sz w:val="32"/>
          <w:szCs w:val="32"/>
          <w:lang w:val="en-US" w:eastAsia="zh-CN"/>
        </w:rPr>
        <w:t>每月</w:t>
      </w:r>
      <w:r>
        <w:rPr>
          <w:rFonts w:hint="eastAsia" w:ascii="CESI仿宋-GB2312" w:hAnsi="CESI仿宋-GB2312" w:eastAsia="CESI仿宋-GB2312" w:cs="CESI仿宋-GB2312"/>
          <w:sz w:val="32"/>
          <w:szCs w:val="32"/>
        </w:rPr>
        <w:t>一次。</w:t>
      </w:r>
    </w:p>
    <w:p w14:paraId="3095B0CE">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（三）采用资源化利用的自然村，</w:t>
      </w:r>
      <w:r>
        <w:rPr>
          <w:rFonts w:hint="eastAsia" w:ascii="CESI仿宋-GB2312" w:hAnsi="CESI仿宋-GB2312" w:eastAsia="CESI仿宋-GB2312" w:cs="CESI仿宋-GB2312"/>
          <w:sz w:val="32"/>
          <w:szCs w:val="32"/>
          <w:lang w:val="en-US" w:eastAsia="zh-CN"/>
        </w:rPr>
        <w:t>原则上村内要实现“三基本”</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val="en-US" w:eastAsia="zh-CN"/>
        </w:rPr>
        <w:t>管渠、</w:t>
      </w:r>
      <w:r>
        <w:rPr>
          <w:rFonts w:hint="eastAsia" w:ascii="CESI仿宋-GB2312" w:hAnsi="CESI仿宋-GB2312" w:eastAsia="CESI仿宋-GB2312" w:cs="CESI仿宋-GB2312"/>
          <w:sz w:val="32"/>
          <w:szCs w:val="32"/>
        </w:rPr>
        <w:t>预处理设施和受纳体日常巡查应不少于</w:t>
      </w:r>
      <w:r>
        <w:rPr>
          <w:rFonts w:hint="eastAsia" w:ascii="CESI仿宋-GB2312" w:hAnsi="CESI仿宋-GB2312" w:eastAsia="CESI仿宋-GB2312" w:cs="CESI仿宋-GB2312"/>
          <w:sz w:val="32"/>
          <w:szCs w:val="32"/>
          <w:lang w:eastAsia="zh-CN"/>
        </w:rPr>
        <w:t>每</w:t>
      </w:r>
      <w:r>
        <w:rPr>
          <w:rFonts w:hint="eastAsia" w:ascii="CESI仿宋-GB2312" w:hAnsi="CESI仿宋-GB2312" w:eastAsia="CESI仿宋-GB2312" w:cs="CESI仿宋-GB2312"/>
          <w:sz w:val="32"/>
          <w:szCs w:val="32"/>
          <w:lang w:val="en-US" w:eastAsia="zh-CN"/>
        </w:rPr>
        <w:t>月</w:t>
      </w:r>
      <w:r>
        <w:rPr>
          <w:rFonts w:hint="eastAsia" w:ascii="CESI仿宋-GB2312" w:hAnsi="CESI仿宋-GB2312" w:eastAsia="CESI仿宋-GB2312" w:cs="CESI仿宋-GB2312"/>
          <w:sz w:val="32"/>
          <w:szCs w:val="32"/>
        </w:rPr>
        <w:t>一次，针对常住人口较少、较为偏远的自然村，</w:t>
      </w:r>
      <w:r>
        <w:rPr>
          <w:rFonts w:hint="eastAsia" w:ascii="CESI仿宋-GB2312" w:hAnsi="CESI仿宋-GB2312" w:eastAsia="CESI仿宋-GB2312" w:cs="CESI仿宋-GB2312"/>
          <w:sz w:val="32"/>
          <w:szCs w:val="32"/>
          <w:lang w:val="en-US" w:eastAsia="zh-CN"/>
        </w:rPr>
        <w:t>在保障运维成效的基础上，</w:t>
      </w:r>
      <w:r>
        <w:rPr>
          <w:rFonts w:hint="eastAsia" w:ascii="CESI仿宋-GB2312" w:hAnsi="CESI仿宋-GB2312" w:eastAsia="CESI仿宋-GB2312" w:cs="CESI仿宋-GB2312"/>
          <w:sz w:val="32"/>
          <w:szCs w:val="32"/>
          <w:lang w:eastAsia="zh-CN"/>
        </w:rPr>
        <w:t>经运维单位与乡镇人民政府协商一致，</w:t>
      </w:r>
      <w:r>
        <w:rPr>
          <w:rFonts w:hint="eastAsia" w:ascii="CESI仿宋-GB2312" w:hAnsi="CESI仿宋-GB2312" w:eastAsia="CESI仿宋-GB2312" w:cs="CESI仿宋-GB2312"/>
          <w:sz w:val="32"/>
          <w:szCs w:val="32"/>
        </w:rPr>
        <w:t>可</w:t>
      </w:r>
      <w:r>
        <w:rPr>
          <w:rFonts w:hint="eastAsia" w:ascii="CESI仿宋-GB2312" w:hAnsi="CESI仿宋-GB2312" w:eastAsia="CESI仿宋-GB2312" w:cs="CESI仿宋-GB2312"/>
          <w:sz w:val="32"/>
          <w:szCs w:val="32"/>
          <w:lang w:eastAsia="zh-CN"/>
        </w:rPr>
        <w:t>对巡查频次进行调整</w:t>
      </w:r>
      <w:r>
        <w:rPr>
          <w:rFonts w:hint="eastAsia" w:ascii="CESI仿宋-GB2312" w:hAnsi="CESI仿宋-GB2312" w:eastAsia="CESI仿宋-GB2312" w:cs="CESI仿宋-GB2312"/>
          <w:sz w:val="32"/>
          <w:szCs w:val="32"/>
        </w:rPr>
        <w:t>。</w:t>
      </w:r>
    </w:p>
    <w:p w14:paraId="01D585B4">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rPr>
        <w:t>（四）针对常住人口较多的资源化利用自然村、常住人口较少的建设设施自然村等特殊情形，运维单位应结合实际制定相应的运维管理措施，经乡镇确认无误后实施。针对</w:t>
      </w:r>
      <w:r>
        <w:rPr>
          <w:rFonts w:hint="eastAsia" w:ascii="CESI仿宋-GB2312" w:hAnsi="CESI仿宋-GB2312" w:eastAsia="CESI仿宋-GB2312" w:cs="CESI仿宋-GB2312"/>
          <w:sz w:val="32"/>
          <w:szCs w:val="32"/>
          <w:lang w:eastAsia="zh-CN"/>
        </w:rPr>
        <w:t>部分乡镇</w:t>
      </w:r>
      <w:r>
        <w:rPr>
          <w:rFonts w:hint="eastAsia" w:ascii="CESI仿宋-GB2312" w:hAnsi="CESI仿宋-GB2312" w:eastAsia="CESI仿宋-GB2312" w:cs="CESI仿宋-GB2312"/>
          <w:sz w:val="32"/>
          <w:szCs w:val="32"/>
        </w:rPr>
        <w:t>少数民族迁移</w:t>
      </w:r>
      <w:r>
        <w:rPr>
          <w:rFonts w:hint="eastAsia" w:ascii="CESI仿宋-GB2312" w:hAnsi="CESI仿宋-GB2312" w:eastAsia="CESI仿宋-GB2312" w:cs="CESI仿宋-GB2312"/>
          <w:sz w:val="32"/>
          <w:szCs w:val="32"/>
          <w:lang w:eastAsia="zh-CN"/>
        </w:rPr>
        <w:t>村混居于同一自然村的</w:t>
      </w:r>
      <w:r>
        <w:rPr>
          <w:rFonts w:hint="eastAsia" w:ascii="CESI仿宋-GB2312" w:hAnsi="CESI仿宋-GB2312" w:eastAsia="CESI仿宋-GB2312" w:cs="CESI仿宋-GB2312"/>
          <w:sz w:val="32"/>
          <w:szCs w:val="32"/>
        </w:rPr>
        <w:t>情况，各相关镇应在费用测算和制定运维合同条款前加强沟通</w:t>
      </w:r>
      <w:r>
        <w:rPr>
          <w:rFonts w:hint="eastAsia" w:ascii="CESI仿宋-GB2312" w:hAnsi="CESI仿宋-GB2312" w:eastAsia="CESI仿宋-GB2312" w:cs="CESI仿宋-GB2312"/>
          <w:sz w:val="32"/>
          <w:szCs w:val="32"/>
          <w:lang w:eastAsia="zh-CN"/>
        </w:rPr>
        <w:t>衔接</w:t>
      </w:r>
      <w:r>
        <w:rPr>
          <w:rFonts w:hint="eastAsia" w:ascii="CESI仿宋-GB2312" w:hAnsi="CESI仿宋-GB2312" w:eastAsia="CESI仿宋-GB2312" w:cs="CESI仿宋-GB2312"/>
          <w:sz w:val="32"/>
          <w:szCs w:val="32"/>
        </w:rPr>
        <w:t>，对各自运维范围进行明确，避免造成资金浪费。</w:t>
      </w:r>
    </w:p>
    <w:p w14:paraId="06B25FB2">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黑体" w:hAnsi="黑体" w:eastAsia="黑体"/>
          <w:sz w:val="32"/>
          <w:szCs w:val="32"/>
        </w:rPr>
        <w:t>第十</w:t>
      </w:r>
      <w:r>
        <w:rPr>
          <w:rFonts w:hint="eastAsia" w:ascii="黑体" w:hAnsi="黑体" w:eastAsia="黑体"/>
          <w:sz w:val="32"/>
          <w:szCs w:val="32"/>
          <w:lang w:val="en-US" w:eastAsia="zh-CN"/>
        </w:rPr>
        <w:t>七</w:t>
      </w:r>
      <w:r>
        <w:rPr>
          <w:rFonts w:hint="eastAsia" w:ascii="黑体" w:hAnsi="黑体" w:eastAsia="黑体"/>
          <w:sz w:val="32"/>
          <w:szCs w:val="32"/>
        </w:rPr>
        <w:t xml:space="preserve">条 </w:t>
      </w:r>
      <w:r>
        <w:rPr>
          <w:rFonts w:hint="eastAsia" w:ascii="CESI仿宋-GB2312" w:hAnsi="CESI仿宋-GB2312" w:eastAsia="CESI仿宋-GB2312" w:cs="CESI仿宋-GB2312"/>
          <w:sz w:val="32"/>
          <w:szCs w:val="32"/>
        </w:rPr>
        <w:t>农村生活污水处理设施运行维护管理须达到以下要求：</w:t>
      </w:r>
    </w:p>
    <w:p w14:paraId="5BD41F2C">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（一）管道、沟渠、检查井：管道、沟渠完好通畅，无渗漏、违章占压、私自接管、错接、漏接等现象；检查井与井盖完好，无污水冒溢等现象；</w:t>
      </w:r>
    </w:p>
    <w:p w14:paraId="7D2F242B">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（二）格栅池、沉砂池、调节池（含资源化利用预处理设施）：完好，无渗漏、堵塞、结构缺损、违章占压、污水冒溢等现象；</w:t>
      </w:r>
    </w:p>
    <w:p w14:paraId="431AEE92">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（三）水泵与配电设施：水泵运行良好、无明显漏水；配电设施无缺损、漏电、跳闸、读数异常等现象；</w:t>
      </w:r>
    </w:p>
    <w:p w14:paraId="15137CEB">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（四）出水井：完好，无渗漏、堵塞、结构破损、违章占压等现象；</w:t>
      </w:r>
    </w:p>
    <w:p w14:paraId="608130C4">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五）处理系统主体设施：结构完好，无明显不均匀沉降、裂缝；无明显堵塞，进水及过滤顺畅，无漫溢；无占绿、毁绿、表面堆肥、种植有损处理效果的作物等现象；无违章搭建、占压、结构及布水管道破损；周围无杂草丛生、杂物堆放等现象；</w:t>
      </w:r>
    </w:p>
    <w:p w14:paraId="60968DC2">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（六）出水水质稳定</w:t>
      </w:r>
      <w:r>
        <w:rPr>
          <w:rFonts w:hint="eastAsia" w:ascii="CESI仿宋-GB2312" w:hAnsi="CESI仿宋-GB2312" w:eastAsia="CESI仿宋-GB2312" w:cs="CESI仿宋-GB2312"/>
          <w:sz w:val="32"/>
          <w:szCs w:val="32"/>
          <w:lang w:val="en-US" w:eastAsia="zh-CN"/>
        </w:rPr>
        <w:t>达到执行标准</w:t>
      </w:r>
      <w:r>
        <w:rPr>
          <w:rFonts w:hint="eastAsia" w:ascii="CESI仿宋-GB2312" w:hAnsi="CESI仿宋-GB2312" w:eastAsia="CESI仿宋-GB2312" w:cs="CESI仿宋-GB2312"/>
          <w:sz w:val="32"/>
          <w:szCs w:val="32"/>
        </w:rPr>
        <w:t>；</w:t>
      </w:r>
    </w:p>
    <w:p w14:paraId="18BE0509">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（七）设施周边环境良好，未出现因生活污水问题导致的污水积存、污水横流等影响环境问题。</w:t>
      </w:r>
    </w:p>
    <w:p w14:paraId="0B5D6DA3">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黑体" w:hAnsi="黑体" w:eastAsia="黑体"/>
          <w:sz w:val="32"/>
          <w:szCs w:val="32"/>
        </w:rPr>
        <w:t>第十</w:t>
      </w:r>
      <w:r>
        <w:rPr>
          <w:rFonts w:hint="eastAsia" w:ascii="黑体" w:hAnsi="黑体" w:eastAsia="黑体"/>
          <w:sz w:val="32"/>
          <w:szCs w:val="32"/>
          <w:lang w:val="en-US" w:eastAsia="zh-CN"/>
        </w:rPr>
        <w:t>八</w:t>
      </w:r>
      <w:r>
        <w:rPr>
          <w:rFonts w:hint="eastAsia" w:ascii="黑体" w:hAnsi="黑体" w:eastAsia="黑体"/>
          <w:sz w:val="32"/>
          <w:szCs w:val="32"/>
        </w:rPr>
        <w:t xml:space="preserve">条 </w:t>
      </w:r>
      <w:r>
        <w:rPr>
          <w:rFonts w:hint="eastAsia" w:ascii="CESI仿宋-GB2312" w:hAnsi="CESI仿宋-GB2312" w:eastAsia="CESI仿宋-GB2312" w:cs="CESI仿宋-GB2312"/>
          <w:sz w:val="32"/>
          <w:szCs w:val="32"/>
        </w:rPr>
        <w:t>运行维护单位须建立运行维护管理台账制度，台账内容包括：</w:t>
      </w:r>
    </w:p>
    <w:p w14:paraId="27703F8C">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（一）日常运行维护管理记录（含巡查时间、范围、点位、设施运行及处理情况等）；</w:t>
      </w:r>
    </w:p>
    <w:p w14:paraId="7EF7262D">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（二）重大故障、严重问题报告及处理结果记录；</w:t>
      </w:r>
    </w:p>
    <w:p w14:paraId="4F96AF25">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（三）水质观测（监测）、耗电量记录；</w:t>
      </w:r>
    </w:p>
    <w:p w14:paraId="2CDCAD7D">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（四）年度检修记录。</w:t>
      </w:r>
    </w:p>
    <w:p w14:paraId="0D0F0E04">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color w:val="000000" w:themeColor="text1"/>
          <w:sz w:val="32"/>
          <w:szCs w:val="32"/>
          <w14:textFill>
            <w14:solidFill>
              <w14:schemeClr w14:val="tx1"/>
            </w14:solidFill>
          </w14:textFill>
        </w:rPr>
      </w:pPr>
      <w:r>
        <w:rPr>
          <w:rFonts w:hint="eastAsia" w:ascii="黑体" w:hAnsi="黑体" w:eastAsia="黑体"/>
          <w:sz w:val="32"/>
          <w:szCs w:val="32"/>
        </w:rPr>
        <w:t>第</w:t>
      </w:r>
      <w:r>
        <w:rPr>
          <w:rFonts w:hint="eastAsia" w:ascii="黑体" w:hAnsi="黑体" w:eastAsia="黑体"/>
          <w:sz w:val="32"/>
          <w:szCs w:val="32"/>
          <w:lang w:val="en-US" w:eastAsia="zh-CN"/>
        </w:rPr>
        <w:t>十九</w:t>
      </w:r>
      <w:r>
        <w:rPr>
          <w:rFonts w:hint="eastAsia" w:ascii="黑体" w:hAnsi="黑体" w:eastAsia="黑体"/>
          <w:sz w:val="32"/>
          <w:szCs w:val="32"/>
        </w:rPr>
        <w:t xml:space="preserve">条 </w:t>
      </w:r>
      <w:r>
        <w:rPr>
          <w:rFonts w:hint="eastAsia" w:ascii="CESI仿宋-GB2312" w:hAnsi="CESI仿宋-GB2312" w:eastAsia="CESI仿宋-GB2312" w:cs="CESI仿宋-GB2312"/>
          <w:sz w:val="32"/>
          <w:szCs w:val="32"/>
        </w:rPr>
        <w:t>建立运维管理情况报告制度。乡镇人民政府</w:t>
      </w:r>
      <w:r>
        <w:rPr>
          <w:rFonts w:hint="eastAsia" w:ascii="CESI仿宋-GB2312" w:hAnsi="CESI仿宋-GB2312" w:eastAsia="CESI仿宋-GB2312" w:cs="CESI仿宋-GB2312"/>
          <w:sz w:val="32"/>
          <w:szCs w:val="32"/>
          <w:lang w:eastAsia="zh-CN"/>
        </w:rPr>
        <w:t>定期</w:t>
      </w:r>
      <w:r>
        <w:rPr>
          <w:rFonts w:hint="eastAsia" w:ascii="CESI仿宋-GB2312" w:hAnsi="CESI仿宋-GB2312" w:eastAsia="CESI仿宋-GB2312" w:cs="CESI仿宋-GB2312"/>
          <w:sz w:val="32"/>
          <w:szCs w:val="32"/>
        </w:rPr>
        <w:t>编制运维管理报告</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color w:val="000000" w:themeColor="text1"/>
          <w:sz w:val="32"/>
          <w:szCs w:val="32"/>
          <w14:textFill>
            <w14:solidFill>
              <w14:schemeClr w14:val="tx1"/>
            </w14:solidFill>
          </w14:textFill>
        </w:rPr>
        <w:t>运维单位结合工作开展情况起草报告内容，乡镇根据日常监督情况对报告内容进行审核</w:t>
      </w:r>
      <w:r>
        <w:rPr>
          <w:rFonts w:hint="eastAsia" w:ascii="CESI仿宋-GB2312" w:hAnsi="CESI仿宋-GB2312" w:eastAsia="CESI仿宋-GB2312" w:cs="CESI仿宋-GB2312"/>
          <w:color w:val="000000" w:themeColor="text1"/>
          <w:sz w:val="32"/>
          <w:szCs w:val="32"/>
          <w:lang w:eastAsia="zh-CN"/>
          <w14:textFill>
            <w14:solidFill>
              <w14:schemeClr w14:val="tx1"/>
            </w14:solidFill>
          </w14:textFill>
        </w:rPr>
        <w:t>。经乡镇人民政府</w:t>
      </w:r>
      <w:r>
        <w:rPr>
          <w:rFonts w:hint="eastAsia" w:ascii="CESI仿宋-GB2312" w:hAnsi="CESI仿宋-GB2312" w:eastAsia="CESI仿宋-GB2312" w:cs="CESI仿宋-GB2312"/>
          <w:color w:val="000000" w:themeColor="text1"/>
          <w:sz w:val="32"/>
          <w:szCs w:val="32"/>
          <w14:textFill>
            <w14:solidFill>
              <w14:schemeClr w14:val="tx1"/>
            </w14:solidFill>
          </w14:textFill>
        </w:rPr>
        <w:t>审定后</w:t>
      </w:r>
      <w:r>
        <w:rPr>
          <w:rFonts w:hint="eastAsia" w:ascii="CESI仿宋-GB2312" w:hAnsi="CESI仿宋-GB2312" w:eastAsia="CESI仿宋-GB2312" w:cs="CESI仿宋-GB2312"/>
          <w:color w:val="000000" w:themeColor="text1"/>
          <w:sz w:val="32"/>
          <w:szCs w:val="32"/>
          <w:lang w:eastAsia="zh-CN"/>
          <w14:textFill>
            <w14:solidFill>
              <w14:schemeClr w14:val="tx1"/>
            </w14:solidFill>
          </w14:textFill>
        </w:rPr>
        <w:t>每</w:t>
      </w:r>
      <w:r>
        <w:rPr>
          <w:rFonts w:hint="eastAsia" w:ascii="CESI仿宋-GB2312" w:hAnsi="CESI仿宋-GB2312" w:eastAsia="CESI仿宋-GB2312" w:cs="CESI仿宋-GB2312"/>
          <w:color w:val="000000" w:themeColor="text1"/>
          <w:sz w:val="32"/>
          <w:szCs w:val="32"/>
          <w:lang w:val="en-US" w:eastAsia="zh-CN"/>
          <w14:textFill>
            <w14:solidFill>
              <w14:schemeClr w14:val="tx1"/>
            </w14:solidFill>
          </w14:textFill>
        </w:rPr>
        <w:t>半年</w:t>
      </w:r>
      <w:r>
        <w:rPr>
          <w:rFonts w:hint="eastAsia" w:ascii="CESI仿宋-GB2312" w:hAnsi="CESI仿宋-GB2312" w:eastAsia="CESI仿宋-GB2312" w:cs="CESI仿宋-GB2312"/>
          <w:color w:val="000000" w:themeColor="text1"/>
          <w:sz w:val="32"/>
          <w:szCs w:val="32"/>
          <w14:textFill>
            <w14:solidFill>
              <w14:schemeClr w14:val="tx1"/>
            </w14:solidFill>
          </w14:textFill>
        </w:rPr>
        <w:t>分别向县农业农村局</w:t>
      </w:r>
      <w:r>
        <w:rPr>
          <w:rFonts w:hint="eastAsia" w:ascii="CESI仿宋-GB2312" w:hAnsi="CESI仿宋-GB2312" w:eastAsia="CESI仿宋-GB2312" w:cs="CESI仿宋-GB2312"/>
          <w:color w:val="000000" w:themeColor="text1"/>
          <w:sz w:val="32"/>
          <w:szCs w:val="32"/>
          <w:lang w:eastAsia="zh-CN"/>
          <w14:textFill>
            <w14:solidFill>
              <w14:schemeClr w14:val="tx1"/>
            </w14:solidFill>
          </w14:textFill>
        </w:rPr>
        <w:t>、</w:t>
      </w:r>
      <w:r>
        <w:rPr>
          <w:rFonts w:hint="eastAsia" w:ascii="CESI仿宋-GB2312" w:hAnsi="CESI仿宋-GB2312" w:eastAsia="CESI仿宋-GB2312" w:cs="CESI仿宋-GB2312"/>
          <w:color w:val="000000" w:themeColor="text1"/>
          <w:sz w:val="32"/>
          <w:szCs w:val="32"/>
          <w14:textFill>
            <w14:solidFill>
              <w14:schemeClr w14:val="tx1"/>
            </w14:solidFill>
          </w14:textFill>
        </w:rPr>
        <w:t>市生态环境局</w:t>
      </w:r>
      <w:r>
        <w:rPr>
          <w:rFonts w:hint="eastAsia" w:ascii="CESI仿宋-GB2312" w:hAnsi="CESI仿宋-GB2312" w:eastAsia="CESI仿宋-GB2312" w:cs="CESI仿宋-GB2312"/>
          <w:color w:val="000000" w:themeColor="text1"/>
          <w:sz w:val="32"/>
          <w:szCs w:val="32"/>
          <w:lang w:val="en-US" w:eastAsia="zh-CN"/>
          <w14:textFill>
            <w14:solidFill>
              <w14:schemeClr w14:val="tx1"/>
            </w14:solidFill>
          </w14:textFill>
        </w:rPr>
        <w:t>始兴</w:t>
      </w:r>
      <w:r>
        <w:rPr>
          <w:rFonts w:hint="eastAsia" w:ascii="CESI仿宋-GB2312" w:hAnsi="CESI仿宋-GB2312" w:eastAsia="CESI仿宋-GB2312" w:cs="CESI仿宋-GB2312"/>
          <w:color w:val="000000" w:themeColor="text1"/>
          <w:sz w:val="32"/>
          <w:szCs w:val="32"/>
          <w14:textFill>
            <w14:solidFill>
              <w14:schemeClr w14:val="tx1"/>
            </w14:solidFill>
          </w14:textFill>
        </w:rPr>
        <w:t>分局上报设施运维管理报告。运行维护报告内容包括：</w:t>
      </w:r>
    </w:p>
    <w:p w14:paraId="377BCBD0">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（一）运行维护报表（含巡查记录、设备完好率、设备养护记录等）；</w:t>
      </w:r>
    </w:p>
    <w:p w14:paraId="3B1025D9">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（二）污水收集管网严重漏损及采取工程措施修复情况；</w:t>
      </w:r>
    </w:p>
    <w:p w14:paraId="49D927B5">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（三）处理系统进出水水量、水质出现异常等情况；</w:t>
      </w:r>
    </w:p>
    <w:p w14:paraId="2D711E44">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（四）设施设备大中修等情况；</w:t>
      </w:r>
    </w:p>
    <w:p w14:paraId="2414851D">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（五）可能影响污水处理系统正常运行的自然或人为因素等情况。</w:t>
      </w:r>
    </w:p>
    <w:p w14:paraId="2B8E03A2">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黑体" w:hAnsi="黑体" w:eastAsia="黑体"/>
          <w:sz w:val="32"/>
          <w:szCs w:val="32"/>
        </w:rPr>
        <w:t xml:space="preserve">第二十条 </w:t>
      </w:r>
      <w:r>
        <w:rPr>
          <w:rFonts w:hint="eastAsia" w:ascii="CESI仿宋-GB2312" w:hAnsi="CESI仿宋-GB2312" w:eastAsia="CESI仿宋-GB2312" w:cs="CESI仿宋-GB2312"/>
          <w:sz w:val="32"/>
          <w:szCs w:val="32"/>
        </w:rPr>
        <w:t>运行维护情况应在运营服务的所在村委会适当位置进行公示，公示内容包括运维范围、标准、巡检时间、工作人员及联系电话、责任人及监督电话等，接受当地村民监督。</w:t>
      </w:r>
    </w:p>
    <w:p w14:paraId="075013F4">
      <w:pPr>
        <w:keepNext w:val="0"/>
        <w:keepLines w:val="0"/>
        <w:pageBreakBefore w:val="0"/>
        <w:kinsoku/>
        <w:topLinePunct w:val="0"/>
        <w:autoSpaceDE/>
        <w:autoSpaceDN/>
        <w:bidi w:val="0"/>
        <w:adjustRightInd/>
        <w:snapToGrid/>
        <w:spacing w:line="590" w:lineRule="exact"/>
        <w:jc w:val="center"/>
        <w:textAlignment w:val="auto"/>
        <w:rPr>
          <w:rFonts w:hint="eastAsia" w:ascii="黑体" w:hAnsi="黑体" w:eastAsia="黑体"/>
          <w:sz w:val="32"/>
          <w:szCs w:val="32"/>
          <w:lang w:eastAsia="zh-CN"/>
        </w:rPr>
      </w:pPr>
      <w:r>
        <w:rPr>
          <w:rFonts w:hint="eastAsia" w:ascii="黑体" w:hAnsi="黑体" w:eastAsia="黑体"/>
          <w:sz w:val="32"/>
          <w:szCs w:val="32"/>
        </w:rPr>
        <w:t>第四章 监督</w:t>
      </w:r>
      <w:r>
        <w:rPr>
          <w:rFonts w:hint="eastAsia" w:ascii="黑体" w:hAnsi="黑体" w:eastAsia="黑体"/>
          <w:sz w:val="32"/>
          <w:szCs w:val="32"/>
          <w:lang w:eastAsia="zh-CN"/>
        </w:rPr>
        <w:t>评估</w:t>
      </w:r>
    </w:p>
    <w:p w14:paraId="4220D716">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highlight w:val="none"/>
          <w:lang w:val="en-US" w:eastAsia="zh-CN"/>
        </w:rPr>
      </w:pPr>
      <w:r>
        <w:rPr>
          <w:rFonts w:hint="eastAsia" w:ascii="黑体" w:hAnsi="黑体" w:eastAsia="黑体"/>
          <w:sz w:val="32"/>
          <w:szCs w:val="32"/>
          <w:highlight w:val="none"/>
        </w:rPr>
        <w:t>第二十</w:t>
      </w:r>
      <w:r>
        <w:rPr>
          <w:rFonts w:hint="eastAsia" w:ascii="黑体" w:hAnsi="黑体" w:eastAsia="黑体"/>
          <w:sz w:val="32"/>
          <w:szCs w:val="32"/>
          <w:highlight w:val="none"/>
          <w:lang w:val="en-US" w:eastAsia="zh-CN"/>
        </w:rPr>
        <w:t>一</w:t>
      </w:r>
      <w:r>
        <w:rPr>
          <w:rFonts w:hint="eastAsia" w:ascii="黑体" w:hAnsi="黑体" w:eastAsia="黑体"/>
          <w:sz w:val="32"/>
          <w:szCs w:val="32"/>
          <w:highlight w:val="none"/>
        </w:rPr>
        <w:t xml:space="preserve">条 </w:t>
      </w:r>
      <w:r>
        <w:rPr>
          <w:rFonts w:hint="eastAsia" w:ascii="CESI仿宋-GB2312" w:hAnsi="CESI仿宋-GB2312" w:eastAsia="CESI仿宋-GB2312" w:cs="CESI仿宋-GB2312"/>
          <w:sz w:val="32"/>
          <w:szCs w:val="32"/>
          <w:highlight w:val="none"/>
        </w:rPr>
        <w:t>县农业农村局</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市生态环境局</w:t>
      </w:r>
      <w:r>
        <w:rPr>
          <w:rFonts w:hint="eastAsia" w:ascii="CESI仿宋-GB2312" w:hAnsi="CESI仿宋-GB2312" w:eastAsia="CESI仿宋-GB2312" w:cs="CESI仿宋-GB2312"/>
          <w:sz w:val="32"/>
          <w:szCs w:val="32"/>
          <w:highlight w:val="none"/>
          <w:lang w:val="en-US" w:eastAsia="zh-CN"/>
        </w:rPr>
        <w:t>始兴</w:t>
      </w:r>
      <w:r>
        <w:rPr>
          <w:rFonts w:hint="eastAsia" w:ascii="CESI仿宋-GB2312" w:hAnsi="CESI仿宋-GB2312" w:eastAsia="CESI仿宋-GB2312" w:cs="CESI仿宋-GB2312"/>
          <w:sz w:val="32"/>
          <w:szCs w:val="32"/>
          <w:highlight w:val="none"/>
        </w:rPr>
        <w:t>分局等部门对照《广东省农村生活污水治理认定标准》（粤环函〔2025〕26号）文件要求</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lang w:val="en-US" w:eastAsia="zh-CN"/>
        </w:rPr>
        <w:t>健全农村生活污水治理运维管护成效监督评估体系，组织开展运维评估工作，评估结果作为运维资金拨付和下一年度运维资金安排的重要依据。</w:t>
      </w:r>
    </w:p>
    <w:p w14:paraId="2CBB5790">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黑体" w:hAnsi="黑体" w:eastAsia="黑体"/>
          <w:sz w:val="32"/>
          <w:szCs w:val="32"/>
        </w:rPr>
        <w:t>第二十</w:t>
      </w:r>
      <w:r>
        <w:rPr>
          <w:rFonts w:hint="eastAsia" w:ascii="黑体" w:hAnsi="黑体" w:eastAsia="黑体"/>
          <w:sz w:val="32"/>
          <w:szCs w:val="32"/>
          <w:lang w:val="en-US" w:eastAsia="zh-CN"/>
        </w:rPr>
        <w:t>二</w:t>
      </w:r>
      <w:r>
        <w:rPr>
          <w:rFonts w:hint="eastAsia" w:ascii="黑体" w:hAnsi="黑体" w:eastAsia="黑体"/>
          <w:sz w:val="32"/>
          <w:szCs w:val="32"/>
        </w:rPr>
        <w:t>条</w:t>
      </w:r>
      <w:r>
        <w:rPr>
          <w:rFonts w:hint="eastAsia" w:ascii="仿宋_GB2312" w:eastAsia="仿宋_GB2312"/>
          <w:sz w:val="32"/>
          <w:szCs w:val="32"/>
        </w:rPr>
        <w:t xml:space="preserve"> </w:t>
      </w:r>
      <w:r>
        <w:rPr>
          <w:rFonts w:hint="eastAsia" w:ascii="CESI仿宋-GB2312" w:hAnsi="CESI仿宋-GB2312" w:eastAsia="CESI仿宋-GB2312" w:cs="CESI仿宋-GB2312"/>
          <w:sz w:val="32"/>
          <w:szCs w:val="32"/>
        </w:rPr>
        <w:t>运行维护单位按照《广东省农村生活污水处理设施运营维护与评价标准》（DBJ/T15-207-2020）负责对设施进出水水质进行监测（可委托第三方</w:t>
      </w:r>
      <w:r>
        <w:rPr>
          <w:rFonts w:hint="eastAsia" w:ascii="CESI仿宋-GB2312" w:hAnsi="CESI仿宋-GB2312" w:eastAsia="CESI仿宋-GB2312" w:cs="CESI仿宋-GB2312"/>
          <w:color w:val="000000" w:themeColor="text1"/>
          <w:sz w:val="32"/>
          <w:szCs w:val="32"/>
          <w14:textFill>
            <w14:solidFill>
              <w14:schemeClr w14:val="tx1"/>
            </w14:solidFill>
          </w14:textFill>
        </w:rPr>
        <w:t>），每半年监测结果分别在6月底、12月底前向</w:t>
      </w:r>
      <w:r>
        <w:rPr>
          <w:rFonts w:hint="eastAsia" w:ascii="CESI仿宋-GB2312" w:hAnsi="CESI仿宋-GB2312" w:eastAsia="CESI仿宋-GB2312" w:cs="CESI仿宋-GB2312"/>
          <w:color w:val="000000" w:themeColor="text1"/>
          <w:sz w:val="32"/>
          <w:szCs w:val="32"/>
          <w:lang w:val="en-US" w:eastAsia="zh-CN"/>
          <w14:textFill>
            <w14:solidFill>
              <w14:schemeClr w14:val="tx1"/>
            </w14:solidFill>
          </w14:textFill>
        </w:rPr>
        <w:t>县农业农村局、</w:t>
      </w:r>
      <w:r>
        <w:rPr>
          <w:rFonts w:hint="eastAsia" w:ascii="CESI仿宋-GB2312" w:hAnsi="CESI仿宋-GB2312" w:eastAsia="CESI仿宋-GB2312" w:cs="CESI仿宋-GB2312"/>
          <w:color w:val="000000" w:themeColor="text1"/>
          <w:sz w:val="32"/>
          <w:szCs w:val="32"/>
          <w14:textFill>
            <w14:solidFill>
              <w14:schemeClr w14:val="tx1"/>
            </w14:solidFill>
          </w14:textFill>
        </w:rPr>
        <w:t>市生态环境局</w:t>
      </w:r>
      <w:r>
        <w:rPr>
          <w:rFonts w:hint="eastAsia" w:ascii="CESI仿宋-GB2312" w:hAnsi="CESI仿宋-GB2312" w:eastAsia="CESI仿宋-GB2312" w:cs="CESI仿宋-GB2312"/>
          <w:color w:val="000000" w:themeColor="text1"/>
          <w:sz w:val="32"/>
          <w:szCs w:val="32"/>
          <w:lang w:val="en-US" w:eastAsia="zh-CN"/>
          <w14:textFill>
            <w14:solidFill>
              <w14:schemeClr w14:val="tx1"/>
            </w14:solidFill>
          </w14:textFill>
        </w:rPr>
        <w:t>始兴</w:t>
      </w:r>
      <w:r>
        <w:rPr>
          <w:rFonts w:hint="eastAsia" w:ascii="CESI仿宋-GB2312" w:hAnsi="CESI仿宋-GB2312" w:eastAsia="CESI仿宋-GB2312" w:cs="CESI仿宋-GB2312"/>
          <w:color w:val="000000" w:themeColor="text1"/>
          <w:sz w:val="32"/>
          <w:szCs w:val="32"/>
          <w14:textFill>
            <w14:solidFill>
              <w14:schemeClr w14:val="tx1"/>
            </w14:solidFill>
          </w14:textFill>
        </w:rPr>
        <w:t>分局报备。</w:t>
      </w:r>
      <w:r>
        <w:rPr>
          <w:rFonts w:hint="eastAsia" w:ascii="CESI仿宋-GB2312" w:hAnsi="CESI仿宋-GB2312" w:eastAsia="CESI仿宋-GB2312" w:cs="CESI仿宋-GB2312"/>
          <w:sz w:val="32"/>
          <w:szCs w:val="32"/>
        </w:rPr>
        <w:t>市生态环境局</w:t>
      </w:r>
      <w:r>
        <w:rPr>
          <w:rFonts w:hint="eastAsia" w:ascii="CESI仿宋-GB2312" w:hAnsi="CESI仿宋-GB2312" w:eastAsia="CESI仿宋-GB2312" w:cs="CESI仿宋-GB2312"/>
          <w:sz w:val="32"/>
          <w:szCs w:val="32"/>
          <w:lang w:val="en-US" w:eastAsia="zh-CN"/>
        </w:rPr>
        <w:t>始兴</w:t>
      </w:r>
      <w:r>
        <w:rPr>
          <w:rFonts w:hint="eastAsia" w:ascii="CESI仿宋-GB2312" w:hAnsi="CESI仿宋-GB2312" w:eastAsia="CESI仿宋-GB2312" w:cs="CESI仿宋-GB2312"/>
          <w:sz w:val="32"/>
          <w:szCs w:val="32"/>
        </w:rPr>
        <w:t>分局对设施进出水水质进行监督性抽测。</w:t>
      </w:r>
    </w:p>
    <w:p w14:paraId="200EEBA8">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highlight w:val="none"/>
          <w:lang w:eastAsia="zh-CN"/>
        </w:rPr>
      </w:pPr>
      <w:r>
        <w:rPr>
          <w:rFonts w:hint="eastAsia" w:ascii="黑体" w:hAnsi="黑体" w:eastAsia="黑体"/>
          <w:sz w:val="32"/>
          <w:szCs w:val="32"/>
          <w:highlight w:val="none"/>
        </w:rPr>
        <w:t>第二十</w:t>
      </w:r>
      <w:r>
        <w:rPr>
          <w:rFonts w:hint="eastAsia" w:ascii="黑体" w:hAnsi="黑体" w:eastAsia="黑体"/>
          <w:sz w:val="32"/>
          <w:szCs w:val="32"/>
          <w:highlight w:val="none"/>
          <w:lang w:val="en-US" w:eastAsia="zh-CN"/>
        </w:rPr>
        <w:t>三</w:t>
      </w:r>
      <w:r>
        <w:rPr>
          <w:rFonts w:hint="eastAsia" w:ascii="黑体" w:hAnsi="黑体" w:eastAsia="黑体"/>
          <w:sz w:val="32"/>
          <w:szCs w:val="32"/>
          <w:highlight w:val="none"/>
        </w:rPr>
        <w:t xml:space="preserve">条 </w:t>
      </w:r>
      <w:r>
        <w:rPr>
          <w:rFonts w:hint="eastAsia" w:ascii="CESI仿宋-GB2312" w:hAnsi="CESI仿宋-GB2312" w:eastAsia="CESI仿宋-GB2312" w:cs="CESI仿宋-GB2312"/>
          <w:sz w:val="32"/>
          <w:szCs w:val="32"/>
          <w:highlight w:val="none"/>
          <w:lang w:eastAsia="zh-CN"/>
        </w:rPr>
        <w:t>评估</w:t>
      </w:r>
      <w:r>
        <w:rPr>
          <w:rFonts w:hint="eastAsia" w:ascii="CESI仿宋-GB2312" w:hAnsi="CESI仿宋-GB2312" w:eastAsia="CESI仿宋-GB2312" w:cs="CESI仿宋-GB2312"/>
          <w:sz w:val="32"/>
          <w:szCs w:val="32"/>
          <w:highlight w:val="none"/>
        </w:rPr>
        <w:t>内容分为资料管理（</w:t>
      </w:r>
      <w:r>
        <w:rPr>
          <w:rFonts w:hint="eastAsia" w:ascii="CESI仿宋-GB2312" w:hAnsi="CESI仿宋-GB2312" w:eastAsia="CESI仿宋-GB2312" w:cs="CESI仿宋-GB2312"/>
          <w:sz w:val="32"/>
          <w:szCs w:val="32"/>
          <w:highlight w:val="none"/>
          <w:lang w:val="en-US" w:eastAsia="zh-CN"/>
        </w:rPr>
        <w:t>4</w:t>
      </w:r>
      <w:r>
        <w:rPr>
          <w:rFonts w:hint="eastAsia" w:ascii="CESI仿宋-GB2312" w:hAnsi="CESI仿宋-GB2312" w:eastAsia="CESI仿宋-GB2312" w:cs="CESI仿宋-GB2312"/>
          <w:sz w:val="32"/>
          <w:szCs w:val="32"/>
          <w:highlight w:val="none"/>
        </w:rPr>
        <w:t>0分）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现场管理（</w:t>
      </w:r>
      <w:r>
        <w:rPr>
          <w:rFonts w:hint="eastAsia" w:ascii="CESI仿宋-GB2312" w:hAnsi="CESI仿宋-GB2312" w:eastAsia="CESI仿宋-GB2312" w:cs="CESI仿宋-GB2312"/>
          <w:sz w:val="32"/>
          <w:szCs w:val="32"/>
          <w:highlight w:val="none"/>
          <w:lang w:val="en-US" w:eastAsia="zh-CN"/>
        </w:rPr>
        <w:t>6</w:t>
      </w:r>
      <w:r>
        <w:rPr>
          <w:rFonts w:hint="eastAsia" w:ascii="CESI仿宋-GB2312" w:hAnsi="CESI仿宋-GB2312" w:eastAsia="CESI仿宋-GB2312" w:cs="CESI仿宋-GB2312"/>
          <w:sz w:val="32"/>
          <w:szCs w:val="32"/>
          <w:highlight w:val="none"/>
        </w:rPr>
        <w:t>0分）</w:t>
      </w:r>
      <w:r>
        <w:rPr>
          <w:rFonts w:hint="eastAsia" w:ascii="CESI仿宋-GB2312" w:hAnsi="CESI仿宋-GB2312" w:eastAsia="CESI仿宋-GB2312" w:cs="CESI仿宋-GB2312"/>
          <w:sz w:val="32"/>
          <w:szCs w:val="32"/>
          <w:highlight w:val="none"/>
          <w:lang w:val="en-US" w:eastAsia="zh-CN"/>
        </w:rPr>
        <w:t>两部分</w:t>
      </w:r>
      <w:r>
        <w:rPr>
          <w:rFonts w:hint="eastAsia" w:ascii="CESI仿宋-GB2312" w:hAnsi="CESI仿宋-GB2312" w:eastAsia="CESI仿宋-GB2312" w:cs="CESI仿宋-GB2312"/>
          <w:sz w:val="32"/>
          <w:szCs w:val="32"/>
          <w:highlight w:val="none"/>
          <w:lang w:eastAsia="zh-CN"/>
        </w:rPr>
        <w:t>。评估</w:t>
      </w:r>
      <w:r>
        <w:rPr>
          <w:rFonts w:hint="eastAsia" w:ascii="CESI仿宋-GB2312" w:hAnsi="CESI仿宋-GB2312" w:eastAsia="CESI仿宋-GB2312" w:cs="CESI仿宋-GB2312"/>
          <w:sz w:val="32"/>
          <w:szCs w:val="32"/>
          <w:highlight w:val="none"/>
        </w:rPr>
        <w:t>各项内容均应有证明资料，否则相应项不计分</w:t>
      </w:r>
      <w:r>
        <w:rPr>
          <w:rFonts w:hint="eastAsia" w:ascii="CESI仿宋-GB2312" w:hAnsi="CESI仿宋-GB2312" w:eastAsia="CESI仿宋-GB2312" w:cs="CESI仿宋-GB2312"/>
          <w:sz w:val="32"/>
          <w:szCs w:val="32"/>
          <w:highlight w:val="none"/>
          <w:lang w:eastAsia="zh-CN"/>
        </w:rPr>
        <w:t>。</w:t>
      </w:r>
    </w:p>
    <w:p w14:paraId="1C02FDC5">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highlight w:val="none"/>
        </w:rPr>
      </w:pPr>
      <w:r>
        <w:rPr>
          <w:rFonts w:hint="eastAsia" w:ascii="CESI仿宋-GB2312" w:hAnsi="CESI仿宋-GB2312" w:eastAsia="CESI仿宋-GB2312" w:cs="CESI仿宋-GB2312"/>
          <w:sz w:val="32"/>
          <w:szCs w:val="32"/>
          <w:highlight w:val="none"/>
          <w:lang w:val="en-US" w:eastAsia="zh-CN"/>
        </w:rPr>
        <w:t>1.资料管理：</w:t>
      </w:r>
      <w:r>
        <w:rPr>
          <w:rFonts w:hint="eastAsia" w:ascii="CESI仿宋-GB2312" w:hAnsi="CESI仿宋-GB2312" w:eastAsia="CESI仿宋-GB2312" w:cs="CESI仿宋-GB2312"/>
          <w:sz w:val="32"/>
          <w:szCs w:val="32"/>
          <w:highlight w:val="none"/>
        </w:rPr>
        <w:t>各乡镇在</w:t>
      </w:r>
      <w:r>
        <w:rPr>
          <w:rFonts w:hint="eastAsia" w:ascii="CESI仿宋-GB2312" w:hAnsi="CESI仿宋-GB2312" w:eastAsia="CESI仿宋-GB2312" w:cs="CESI仿宋-GB2312"/>
          <w:sz w:val="32"/>
          <w:szCs w:val="32"/>
          <w:highlight w:val="none"/>
          <w:lang w:eastAsia="zh-CN"/>
        </w:rPr>
        <w:t>评估</w:t>
      </w:r>
      <w:r>
        <w:rPr>
          <w:rFonts w:hint="eastAsia" w:ascii="CESI仿宋-GB2312" w:hAnsi="CESI仿宋-GB2312" w:eastAsia="CESI仿宋-GB2312" w:cs="CESI仿宋-GB2312"/>
          <w:sz w:val="32"/>
          <w:szCs w:val="32"/>
          <w:highlight w:val="none"/>
        </w:rPr>
        <w:t>期间严格根据</w:t>
      </w:r>
      <w:r>
        <w:rPr>
          <w:rFonts w:hint="eastAsia" w:ascii="CESI仿宋-GB2312" w:hAnsi="CESI仿宋-GB2312" w:eastAsia="CESI仿宋-GB2312" w:cs="CESI仿宋-GB2312"/>
          <w:sz w:val="32"/>
          <w:szCs w:val="32"/>
          <w:highlight w:val="none"/>
          <w:lang w:val="en-US" w:eastAsia="zh-CN"/>
        </w:rPr>
        <w:t>办法要求，</w:t>
      </w:r>
      <w:r>
        <w:rPr>
          <w:rFonts w:hint="eastAsia" w:ascii="CESI仿宋-GB2312" w:hAnsi="CESI仿宋-GB2312" w:eastAsia="CESI仿宋-GB2312" w:cs="CESI仿宋-GB2312"/>
          <w:sz w:val="32"/>
          <w:szCs w:val="32"/>
          <w:highlight w:val="none"/>
        </w:rPr>
        <w:t>提交各农村污水处理设施的管理制度、巡检台账等材料</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lang w:val="en-US" w:eastAsia="zh-CN"/>
        </w:rPr>
        <w:t>县农业农村局</w:t>
      </w:r>
      <w:r>
        <w:rPr>
          <w:rFonts w:hint="eastAsia" w:ascii="CESI仿宋-GB2312" w:hAnsi="CESI仿宋-GB2312" w:eastAsia="CESI仿宋-GB2312" w:cs="CESI仿宋-GB2312"/>
          <w:sz w:val="32"/>
          <w:szCs w:val="32"/>
          <w:highlight w:val="none"/>
        </w:rPr>
        <w:t>进行资料台账</w:t>
      </w:r>
      <w:r>
        <w:rPr>
          <w:rFonts w:hint="eastAsia" w:ascii="CESI仿宋-GB2312" w:hAnsi="CESI仿宋-GB2312" w:eastAsia="CESI仿宋-GB2312" w:cs="CESI仿宋-GB2312"/>
          <w:sz w:val="32"/>
          <w:szCs w:val="32"/>
          <w:highlight w:val="none"/>
          <w:lang w:eastAsia="zh-CN"/>
        </w:rPr>
        <w:t>评估</w:t>
      </w:r>
      <w:r>
        <w:rPr>
          <w:rFonts w:hint="eastAsia" w:ascii="CESI仿宋-GB2312" w:hAnsi="CESI仿宋-GB2312" w:eastAsia="CESI仿宋-GB2312" w:cs="CESI仿宋-GB2312"/>
          <w:sz w:val="32"/>
          <w:szCs w:val="32"/>
          <w:highlight w:val="none"/>
        </w:rPr>
        <w:t>。</w:t>
      </w:r>
    </w:p>
    <w:p w14:paraId="6D0EB56D">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highlight w:val="none"/>
          <w:lang w:val="en-US" w:eastAsia="zh-CN"/>
        </w:rPr>
      </w:pPr>
      <w:r>
        <w:rPr>
          <w:rFonts w:hint="eastAsia" w:ascii="CESI仿宋-GB2312" w:hAnsi="CESI仿宋-GB2312" w:eastAsia="CESI仿宋-GB2312" w:cs="CESI仿宋-GB2312"/>
          <w:sz w:val="32"/>
          <w:szCs w:val="32"/>
          <w:highlight w:val="none"/>
          <w:lang w:val="en-US" w:eastAsia="zh-CN"/>
        </w:rPr>
        <w:t>2.</w:t>
      </w:r>
      <w:r>
        <w:rPr>
          <w:rFonts w:hint="eastAsia" w:ascii="CESI仿宋-GB2312" w:hAnsi="CESI仿宋-GB2312" w:eastAsia="CESI仿宋-GB2312" w:cs="CESI仿宋-GB2312"/>
          <w:sz w:val="32"/>
          <w:szCs w:val="32"/>
          <w:highlight w:val="none"/>
        </w:rPr>
        <w:t>现场</w:t>
      </w:r>
      <w:r>
        <w:rPr>
          <w:rFonts w:hint="eastAsia" w:ascii="CESI仿宋-GB2312" w:hAnsi="CESI仿宋-GB2312" w:eastAsia="CESI仿宋-GB2312" w:cs="CESI仿宋-GB2312"/>
          <w:sz w:val="32"/>
          <w:szCs w:val="32"/>
          <w:highlight w:val="none"/>
          <w:lang w:val="en-US" w:eastAsia="zh-CN"/>
        </w:rPr>
        <w:t>管理：按照“突出重点、全面覆盖”的原则对年度纳入运维的自然村数按不低于30%的比例抽取现场评估自然村，并根据治理模式设置相应评估项，现场评分细则详见附件1。</w:t>
      </w:r>
    </w:p>
    <w:p w14:paraId="5CA43BA4">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highlight w:val="none"/>
          <w:lang w:val="en-US" w:eastAsia="zh-CN"/>
        </w:rPr>
      </w:pPr>
      <w:r>
        <w:rPr>
          <w:rFonts w:hint="eastAsia" w:ascii="CESI仿宋-GB2312" w:hAnsi="CESI仿宋-GB2312" w:eastAsia="CESI仿宋-GB2312" w:cs="CESI仿宋-GB2312"/>
          <w:sz w:val="32"/>
          <w:szCs w:val="32"/>
          <w:highlight w:val="none"/>
        </w:rPr>
        <w:t>对于抽取到进行现场</w:t>
      </w:r>
      <w:r>
        <w:rPr>
          <w:rFonts w:hint="eastAsia" w:ascii="CESI仿宋-GB2312" w:hAnsi="CESI仿宋-GB2312" w:eastAsia="CESI仿宋-GB2312" w:cs="CESI仿宋-GB2312"/>
          <w:sz w:val="32"/>
          <w:szCs w:val="32"/>
          <w:highlight w:val="none"/>
          <w:lang w:eastAsia="zh-CN"/>
        </w:rPr>
        <w:t>评估</w:t>
      </w:r>
      <w:r>
        <w:rPr>
          <w:rFonts w:hint="eastAsia" w:ascii="CESI仿宋-GB2312" w:hAnsi="CESI仿宋-GB2312" w:eastAsia="CESI仿宋-GB2312" w:cs="CESI仿宋-GB2312"/>
          <w:sz w:val="32"/>
          <w:szCs w:val="32"/>
          <w:highlight w:val="none"/>
        </w:rPr>
        <w:t>的农村生活污水处理设施点，资料管理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现场管理分数相加的总分即为</w:t>
      </w:r>
      <w:r>
        <w:rPr>
          <w:rFonts w:hint="eastAsia" w:ascii="CESI仿宋-GB2312" w:hAnsi="CESI仿宋-GB2312" w:eastAsia="CESI仿宋-GB2312" w:cs="CESI仿宋-GB2312"/>
          <w:sz w:val="32"/>
          <w:szCs w:val="32"/>
          <w:highlight w:val="none"/>
          <w:lang w:eastAsia="zh-CN"/>
        </w:rPr>
        <w:t>评估</w:t>
      </w:r>
      <w:r>
        <w:rPr>
          <w:rFonts w:hint="eastAsia" w:ascii="CESI仿宋-GB2312" w:hAnsi="CESI仿宋-GB2312" w:eastAsia="CESI仿宋-GB2312" w:cs="CESI仿宋-GB2312"/>
          <w:sz w:val="32"/>
          <w:szCs w:val="32"/>
          <w:highlight w:val="none"/>
        </w:rPr>
        <w:t>总分数。仅参与资料</w:t>
      </w:r>
      <w:r>
        <w:rPr>
          <w:rFonts w:hint="eastAsia" w:ascii="CESI仿宋-GB2312" w:hAnsi="CESI仿宋-GB2312" w:eastAsia="CESI仿宋-GB2312" w:cs="CESI仿宋-GB2312"/>
          <w:sz w:val="32"/>
          <w:szCs w:val="32"/>
          <w:highlight w:val="none"/>
          <w:lang w:val="en-US" w:eastAsia="zh-CN"/>
        </w:rPr>
        <w:t>管理评估</w:t>
      </w:r>
      <w:r>
        <w:rPr>
          <w:rFonts w:hint="eastAsia" w:ascii="CESI仿宋-GB2312" w:hAnsi="CESI仿宋-GB2312" w:eastAsia="CESI仿宋-GB2312" w:cs="CESI仿宋-GB2312"/>
          <w:sz w:val="32"/>
          <w:szCs w:val="32"/>
          <w:highlight w:val="none"/>
        </w:rPr>
        <w:t>的农村生活污水处理设施点位，将资料管理</w:t>
      </w:r>
      <w:r>
        <w:rPr>
          <w:rFonts w:hint="eastAsia" w:ascii="CESI仿宋-GB2312" w:hAnsi="CESI仿宋-GB2312" w:eastAsia="CESI仿宋-GB2312" w:cs="CESI仿宋-GB2312"/>
          <w:sz w:val="32"/>
          <w:szCs w:val="32"/>
          <w:highlight w:val="none"/>
          <w:lang w:eastAsia="zh-CN"/>
        </w:rPr>
        <w:t>评估</w:t>
      </w:r>
      <w:r>
        <w:rPr>
          <w:rFonts w:hint="eastAsia" w:ascii="CESI仿宋-GB2312" w:hAnsi="CESI仿宋-GB2312" w:eastAsia="CESI仿宋-GB2312" w:cs="CESI仿宋-GB2312"/>
          <w:sz w:val="32"/>
          <w:szCs w:val="32"/>
          <w:highlight w:val="none"/>
        </w:rPr>
        <w:t>分数换算成百分制，即为</w:t>
      </w:r>
      <w:r>
        <w:rPr>
          <w:rFonts w:hint="eastAsia" w:ascii="CESI仿宋-GB2312" w:hAnsi="CESI仿宋-GB2312" w:eastAsia="CESI仿宋-GB2312" w:cs="CESI仿宋-GB2312"/>
          <w:sz w:val="32"/>
          <w:szCs w:val="32"/>
          <w:highlight w:val="none"/>
          <w:lang w:eastAsia="zh-CN"/>
        </w:rPr>
        <w:t>评估</w:t>
      </w:r>
      <w:r>
        <w:rPr>
          <w:rFonts w:hint="eastAsia" w:ascii="CESI仿宋-GB2312" w:hAnsi="CESI仿宋-GB2312" w:eastAsia="CESI仿宋-GB2312" w:cs="CESI仿宋-GB2312"/>
          <w:sz w:val="32"/>
          <w:szCs w:val="32"/>
          <w:highlight w:val="none"/>
        </w:rPr>
        <w:t>总分数</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lang w:val="en-US" w:eastAsia="zh-CN"/>
        </w:rPr>
        <w:t>乡镇得分为抽查自然村得分的算数平均数。</w:t>
      </w:r>
    </w:p>
    <w:p w14:paraId="4F8E1A35">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highlight w:val="none"/>
          <w:lang w:eastAsia="zh-CN"/>
        </w:rPr>
      </w:pPr>
      <w:r>
        <w:rPr>
          <w:rFonts w:hint="eastAsia" w:ascii="黑体" w:hAnsi="黑体" w:eastAsia="黑体"/>
          <w:sz w:val="32"/>
          <w:szCs w:val="32"/>
          <w:highlight w:val="none"/>
        </w:rPr>
        <w:t>第二十</w:t>
      </w:r>
      <w:r>
        <w:rPr>
          <w:rFonts w:hint="eastAsia" w:ascii="黑体" w:hAnsi="黑体" w:eastAsia="黑体"/>
          <w:sz w:val="32"/>
          <w:szCs w:val="32"/>
          <w:highlight w:val="none"/>
          <w:lang w:val="en-US" w:eastAsia="zh-CN"/>
        </w:rPr>
        <w:t>四</w:t>
      </w:r>
      <w:r>
        <w:rPr>
          <w:rFonts w:hint="eastAsia" w:ascii="黑体" w:hAnsi="黑体" w:eastAsia="黑体"/>
          <w:sz w:val="32"/>
          <w:szCs w:val="32"/>
          <w:highlight w:val="none"/>
        </w:rPr>
        <w:t xml:space="preserve">条 </w:t>
      </w:r>
      <w:r>
        <w:rPr>
          <w:rFonts w:hint="eastAsia" w:ascii="CESI仿宋-GB2312" w:hAnsi="CESI仿宋-GB2312" w:eastAsia="CESI仿宋-GB2312" w:cs="CESI仿宋-GB2312"/>
          <w:sz w:val="32"/>
          <w:szCs w:val="32"/>
          <w:highlight w:val="none"/>
          <w:lang w:eastAsia="zh-CN"/>
        </w:rPr>
        <w:t>评估</w:t>
      </w:r>
      <w:r>
        <w:rPr>
          <w:rFonts w:hint="eastAsia" w:ascii="CESI仿宋-GB2312" w:hAnsi="CESI仿宋-GB2312" w:eastAsia="CESI仿宋-GB2312" w:cs="CESI仿宋-GB2312"/>
          <w:sz w:val="32"/>
          <w:szCs w:val="32"/>
          <w:highlight w:val="none"/>
        </w:rPr>
        <w:t>每半年一次，</w:t>
      </w:r>
      <w:r>
        <w:rPr>
          <w:rFonts w:hint="eastAsia" w:ascii="CESI仿宋-GB2312" w:hAnsi="CESI仿宋-GB2312" w:eastAsia="CESI仿宋-GB2312" w:cs="CESI仿宋-GB2312"/>
          <w:sz w:val="32"/>
          <w:szCs w:val="32"/>
          <w:highlight w:val="none"/>
          <w:lang w:eastAsia="zh-CN"/>
        </w:rPr>
        <w:t>评估</w:t>
      </w:r>
      <w:r>
        <w:rPr>
          <w:rFonts w:hint="eastAsia" w:ascii="CESI仿宋-GB2312" w:hAnsi="CESI仿宋-GB2312" w:eastAsia="CESI仿宋-GB2312" w:cs="CESI仿宋-GB2312"/>
          <w:sz w:val="32"/>
          <w:szCs w:val="32"/>
          <w:highlight w:val="none"/>
        </w:rPr>
        <w:t>周期分别为每年1月1日至6月30日、7月1日至12月31日，</w:t>
      </w:r>
      <w:r>
        <w:rPr>
          <w:rFonts w:hint="eastAsia" w:ascii="CESI仿宋-GB2312" w:hAnsi="CESI仿宋-GB2312" w:eastAsia="CESI仿宋-GB2312" w:cs="CESI仿宋-GB2312"/>
          <w:sz w:val="32"/>
          <w:szCs w:val="32"/>
          <w:highlight w:val="none"/>
          <w:lang w:eastAsia="zh-CN"/>
        </w:rPr>
        <w:t>评估</w:t>
      </w:r>
      <w:r>
        <w:rPr>
          <w:rFonts w:hint="eastAsia" w:ascii="CESI仿宋-GB2312" w:hAnsi="CESI仿宋-GB2312" w:eastAsia="CESI仿宋-GB2312" w:cs="CESI仿宋-GB2312"/>
          <w:sz w:val="32"/>
          <w:szCs w:val="32"/>
          <w:highlight w:val="none"/>
        </w:rPr>
        <w:t>时间为每年的7月中旬和12月中旬。</w:t>
      </w:r>
      <w:r>
        <w:rPr>
          <w:rFonts w:hint="eastAsia" w:ascii="CESI仿宋-GB2312" w:hAnsi="CESI仿宋-GB2312" w:eastAsia="CESI仿宋-GB2312" w:cs="CESI仿宋-GB2312"/>
          <w:sz w:val="32"/>
          <w:szCs w:val="32"/>
          <w:highlight w:val="none"/>
          <w:lang w:val="en-US" w:eastAsia="zh-CN"/>
        </w:rPr>
        <w:t>县农业农村局</w:t>
      </w:r>
      <w:r>
        <w:rPr>
          <w:rFonts w:hint="eastAsia" w:ascii="CESI仿宋-GB2312" w:hAnsi="CESI仿宋-GB2312" w:eastAsia="CESI仿宋-GB2312" w:cs="CESI仿宋-GB2312"/>
          <w:sz w:val="32"/>
          <w:szCs w:val="32"/>
          <w:highlight w:val="none"/>
        </w:rPr>
        <w:t>会同住管、水务</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市生态环境局始兴分局等部门按照本办法，对纳入年度运维管理的农村污水处理设施所辖乡镇进行</w:t>
      </w:r>
      <w:r>
        <w:rPr>
          <w:rFonts w:hint="eastAsia" w:ascii="CESI仿宋-GB2312" w:hAnsi="CESI仿宋-GB2312" w:eastAsia="CESI仿宋-GB2312" w:cs="CESI仿宋-GB2312"/>
          <w:sz w:val="32"/>
          <w:szCs w:val="32"/>
          <w:highlight w:val="none"/>
          <w:lang w:eastAsia="zh-CN"/>
        </w:rPr>
        <w:t>评估。</w:t>
      </w:r>
    </w:p>
    <w:p w14:paraId="2B55A4EB">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highlight w:val="none"/>
        </w:rPr>
      </w:pPr>
      <w:r>
        <w:rPr>
          <w:rFonts w:hint="eastAsia" w:ascii="黑体" w:hAnsi="黑体" w:eastAsia="黑体"/>
          <w:sz w:val="32"/>
          <w:szCs w:val="32"/>
          <w:highlight w:val="none"/>
        </w:rPr>
        <w:t>第二十</w:t>
      </w:r>
      <w:r>
        <w:rPr>
          <w:rFonts w:hint="eastAsia" w:ascii="黑体" w:hAnsi="黑体" w:eastAsia="黑体"/>
          <w:sz w:val="32"/>
          <w:szCs w:val="32"/>
          <w:highlight w:val="none"/>
          <w:lang w:val="en-US" w:eastAsia="zh-CN"/>
        </w:rPr>
        <w:t>五</w:t>
      </w:r>
      <w:r>
        <w:rPr>
          <w:rFonts w:hint="eastAsia" w:ascii="黑体" w:hAnsi="黑体" w:eastAsia="黑体"/>
          <w:sz w:val="32"/>
          <w:szCs w:val="32"/>
          <w:highlight w:val="none"/>
        </w:rPr>
        <w:t xml:space="preserve">条 </w:t>
      </w:r>
      <w:r>
        <w:rPr>
          <w:rFonts w:hint="eastAsia" w:ascii="CESI仿宋-GB2312" w:hAnsi="CESI仿宋-GB2312" w:eastAsia="CESI仿宋-GB2312" w:cs="CESI仿宋-GB2312"/>
          <w:sz w:val="32"/>
          <w:szCs w:val="32"/>
          <w:highlight w:val="none"/>
          <w:lang w:eastAsia="zh-CN"/>
        </w:rPr>
        <w:t>评估</w:t>
      </w:r>
      <w:r>
        <w:rPr>
          <w:rFonts w:hint="eastAsia" w:ascii="CESI仿宋-GB2312" w:hAnsi="CESI仿宋-GB2312" w:eastAsia="CESI仿宋-GB2312" w:cs="CESI仿宋-GB2312"/>
          <w:sz w:val="32"/>
          <w:szCs w:val="32"/>
          <w:highlight w:val="none"/>
        </w:rPr>
        <w:t>等次分优秀、合格、不合格三档。</w:t>
      </w:r>
      <w:r>
        <w:rPr>
          <w:rFonts w:hint="eastAsia" w:ascii="CESI仿宋-GB2312" w:hAnsi="CESI仿宋-GB2312" w:eastAsia="CESI仿宋-GB2312" w:cs="CESI仿宋-GB2312"/>
          <w:sz w:val="32"/>
          <w:szCs w:val="32"/>
          <w:highlight w:val="none"/>
          <w:lang w:eastAsia="zh-CN"/>
        </w:rPr>
        <w:t>评估</w:t>
      </w:r>
      <w:r>
        <w:rPr>
          <w:rFonts w:hint="eastAsia" w:ascii="CESI仿宋-GB2312" w:hAnsi="CESI仿宋-GB2312" w:eastAsia="CESI仿宋-GB2312" w:cs="CESI仿宋-GB2312"/>
          <w:sz w:val="32"/>
          <w:szCs w:val="32"/>
          <w:highlight w:val="none"/>
        </w:rPr>
        <w:t>总分数在60分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含</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以上的为合格；分值在60分以下的为不合格；分值在85分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含</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以上且排名前三名的为优秀。</w:t>
      </w:r>
    </w:p>
    <w:p w14:paraId="25CCC651">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highlight w:val="none"/>
        </w:rPr>
      </w:pPr>
      <w:r>
        <w:rPr>
          <w:rFonts w:hint="eastAsia" w:ascii="CESI仿宋-GB2312" w:hAnsi="CESI仿宋-GB2312" w:eastAsia="CESI仿宋-GB2312" w:cs="CESI仿宋-GB2312"/>
          <w:sz w:val="32"/>
          <w:szCs w:val="32"/>
          <w:highlight w:val="none"/>
        </w:rPr>
        <w:t>评优前置条件</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有下列情况之一发生直接取消评优资格</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w:t>
      </w:r>
    </w:p>
    <w:p w14:paraId="53DD02BF">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highlight w:val="none"/>
        </w:rPr>
      </w:pPr>
      <w:r>
        <w:rPr>
          <w:rFonts w:hint="eastAsia" w:ascii="CESI仿宋-GB2312" w:hAnsi="CESI仿宋-GB2312" w:eastAsia="CESI仿宋-GB2312" w:cs="CESI仿宋-GB2312"/>
          <w:sz w:val="32"/>
          <w:szCs w:val="32"/>
          <w:highlight w:val="none"/>
        </w:rPr>
        <w:t>1.被列入中央、省环保督察负面典型案例、因运维不当造成环境恶化发生越级上访等情形严重</w:t>
      </w:r>
      <w:r>
        <w:rPr>
          <w:rFonts w:hint="eastAsia" w:ascii="CESI仿宋-GB2312" w:hAnsi="CESI仿宋-GB2312" w:eastAsia="CESI仿宋-GB2312" w:cs="CESI仿宋-GB2312"/>
          <w:sz w:val="32"/>
          <w:szCs w:val="32"/>
          <w:highlight w:val="none"/>
          <w:lang w:val="en-US" w:eastAsia="zh-CN"/>
        </w:rPr>
        <w:t>情况</w:t>
      </w:r>
      <w:r>
        <w:rPr>
          <w:rFonts w:hint="eastAsia" w:ascii="CESI仿宋-GB2312" w:hAnsi="CESI仿宋-GB2312" w:eastAsia="CESI仿宋-GB2312" w:cs="CESI仿宋-GB2312"/>
          <w:sz w:val="32"/>
          <w:szCs w:val="32"/>
          <w:highlight w:val="none"/>
        </w:rPr>
        <w:t>；</w:t>
      </w:r>
    </w:p>
    <w:p w14:paraId="1EE7B589">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highlight w:val="none"/>
        </w:rPr>
      </w:pPr>
      <w:r>
        <w:rPr>
          <w:rFonts w:hint="eastAsia" w:ascii="CESI仿宋-GB2312" w:hAnsi="CESI仿宋-GB2312" w:eastAsia="CESI仿宋-GB2312" w:cs="CESI仿宋-GB2312"/>
          <w:sz w:val="32"/>
          <w:szCs w:val="32"/>
          <w:highlight w:val="none"/>
        </w:rPr>
        <w:t>2.发生运行维护有关的死亡等重大安全事故；</w:t>
      </w:r>
    </w:p>
    <w:p w14:paraId="3642282D">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3.出水水质检测综合合格率低于70%(化学需氧量、氨氮等指标)</w:t>
      </w:r>
      <w:r>
        <w:rPr>
          <w:rFonts w:hint="eastAsia" w:ascii="CESI仿宋-GB2312" w:hAnsi="CESI仿宋-GB2312" w:eastAsia="CESI仿宋-GB2312" w:cs="CESI仿宋-GB2312"/>
          <w:sz w:val="32"/>
          <w:szCs w:val="32"/>
          <w:highlight w:val="none"/>
          <w:lang w:eastAsia="zh-CN"/>
        </w:rPr>
        <w:t>；</w:t>
      </w:r>
    </w:p>
    <w:p w14:paraId="2D0479D6">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仿宋_GB2312" w:eastAsia="仿宋_GB2312"/>
          <w:sz w:val="32"/>
          <w:szCs w:val="32"/>
          <w:highlight w:val="none"/>
        </w:rPr>
      </w:pPr>
      <w:r>
        <w:rPr>
          <w:rFonts w:hint="eastAsia" w:ascii="CESI仿宋-GB2312" w:hAnsi="CESI仿宋-GB2312" w:eastAsia="CESI仿宋-GB2312" w:cs="CESI仿宋-GB2312"/>
          <w:sz w:val="32"/>
          <w:szCs w:val="32"/>
          <w:highlight w:val="none"/>
        </w:rPr>
        <w:t>两次</w:t>
      </w:r>
      <w:r>
        <w:rPr>
          <w:rFonts w:hint="eastAsia" w:ascii="CESI仿宋-GB2312" w:hAnsi="CESI仿宋-GB2312" w:eastAsia="CESI仿宋-GB2312" w:cs="CESI仿宋-GB2312"/>
          <w:sz w:val="32"/>
          <w:szCs w:val="32"/>
          <w:highlight w:val="none"/>
          <w:lang w:eastAsia="zh-CN"/>
        </w:rPr>
        <w:t>评估</w:t>
      </w:r>
      <w:r>
        <w:rPr>
          <w:rFonts w:hint="eastAsia" w:ascii="CESI仿宋-GB2312" w:hAnsi="CESI仿宋-GB2312" w:eastAsia="CESI仿宋-GB2312" w:cs="CESI仿宋-GB2312"/>
          <w:sz w:val="32"/>
          <w:szCs w:val="32"/>
          <w:highlight w:val="none"/>
        </w:rPr>
        <w:t>结果排名分别在当年8月及次年1月进行公布。</w:t>
      </w:r>
    </w:p>
    <w:p w14:paraId="6F7F0425">
      <w:pPr>
        <w:keepNext w:val="0"/>
        <w:keepLines w:val="0"/>
        <w:pageBreakBefore w:val="0"/>
        <w:kinsoku/>
        <w:topLinePunct w:val="0"/>
        <w:autoSpaceDE/>
        <w:autoSpaceDN/>
        <w:bidi w:val="0"/>
        <w:adjustRightInd/>
        <w:snapToGrid/>
        <w:spacing w:line="590" w:lineRule="exact"/>
        <w:jc w:val="center"/>
        <w:textAlignment w:val="auto"/>
        <w:rPr>
          <w:rFonts w:ascii="黑体" w:hAnsi="黑体" w:eastAsia="黑体"/>
          <w:sz w:val="32"/>
          <w:szCs w:val="32"/>
        </w:rPr>
      </w:pPr>
      <w:r>
        <w:rPr>
          <w:rFonts w:hint="eastAsia" w:ascii="黑体" w:hAnsi="黑体" w:eastAsia="黑体"/>
          <w:sz w:val="32"/>
          <w:szCs w:val="32"/>
        </w:rPr>
        <w:t>第五章 资金保障</w:t>
      </w:r>
    </w:p>
    <w:p w14:paraId="57D59477">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黑体" w:hAnsi="黑体" w:eastAsia="黑体"/>
          <w:sz w:val="32"/>
          <w:szCs w:val="32"/>
        </w:rPr>
        <w:t>第二十</w:t>
      </w:r>
      <w:r>
        <w:rPr>
          <w:rFonts w:hint="eastAsia" w:ascii="黑体" w:hAnsi="黑体" w:eastAsia="黑体"/>
          <w:sz w:val="32"/>
          <w:szCs w:val="32"/>
          <w:lang w:eastAsia="zh-CN"/>
        </w:rPr>
        <w:t>六</w:t>
      </w:r>
      <w:r>
        <w:rPr>
          <w:rFonts w:hint="eastAsia" w:ascii="黑体" w:hAnsi="黑体" w:eastAsia="黑体"/>
          <w:sz w:val="32"/>
          <w:szCs w:val="32"/>
        </w:rPr>
        <w:t xml:space="preserve">条 </w:t>
      </w:r>
      <w:r>
        <w:rPr>
          <w:rFonts w:hint="eastAsia" w:ascii="CESI仿宋-GB2312" w:hAnsi="CESI仿宋-GB2312" w:eastAsia="CESI仿宋-GB2312" w:cs="CESI仿宋-GB2312"/>
          <w:sz w:val="32"/>
          <w:szCs w:val="32"/>
        </w:rPr>
        <w:t>农村生活污水处理设施的运行维护管理经费由县级财政统筹解决。</w:t>
      </w:r>
    </w:p>
    <w:p w14:paraId="707E9A30">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黑体" w:hAnsi="黑体" w:eastAsia="黑体"/>
          <w:sz w:val="32"/>
          <w:szCs w:val="32"/>
        </w:rPr>
        <w:t>第二十</w:t>
      </w:r>
      <w:r>
        <w:rPr>
          <w:rFonts w:hint="eastAsia" w:ascii="黑体" w:hAnsi="黑体" w:eastAsia="黑体"/>
          <w:sz w:val="32"/>
          <w:szCs w:val="32"/>
          <w:lang w:eastAsia="zh-CN"/>
        </w:rPr>
        <w:t>七</w:t>
      </w:r>
      <w:r>
        <w:rPr>
          <w:rFonts w:hint="eastAsia" w:ascii="黑体" w:hAnsi="黑体" w:eastAsia="黑体"/>
          <w:sz w:val="32"/>
          <w:szCs w:val="32"/>
        </w:rPr>
        <w:t xml:space="preserve">条 </w:t>
      </w:r>
      <w:r>
        <w:rPr>
          <w:rFonts w:hint="eastAsia" w:ascii="CESI仿宋-GB2312" w:hAnsi="CESI仿宋-GB2312" w:eastAsia="CESI仿宋-GB2312" w:cs="CESI仿宋-GB2312"/>
          <w:sz w:val="32"/>
          <w:szCs w:val="32"/>
        </w:rPr>
        <w:t>运行维护管理资金主要包括以下几类：</w:t>
      </w:r>
    </w:p>
    <w:p w14:paraId="270DB858">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（一）运行电费；</w:t>
      </w:r>
    </w:p>
    <w:p w14:paraId="59D7A15F">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（二）人工费用；</w:t>
      </w:r>
    </w:p>
    <w:p w14:paraId="2ACAC756">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（三）管网、设备、设施维修和更换费用；</w:t>
      </w:r>
    </w:p>
    <w:p w14:paraId="405E04E9">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（四）进出水水质监测费用</w:t>
      </w:r>
      <w:r>
        <w:rPr>
          <w:rFonts w:hint="eastAsia" w:ascii="CESI仿宋-GB2312" w:hAnsi="CESI仿宋-GB2312" w:eastAsia="CESI仿宋-GB2312" w:cs="CESI仿宋-GB2312"/>
          <w:sz w:val="32"/>
          <w:szCs w:val="32"/>
          <w:lang w:eastAsia="zh-CN"/>
        </w:rPr>
        <w:t>；</w:t>
      </w:r>
    </w:p>
    <w:p w14:paraId="1D8F6A59">
      <w:pPr>
        <w:keepNext w:val="0"/>
        <w:keepLines w:val="0"/>
        <w:pageBreakBefore w:val="0"/>
        <w:kinsoku/>
        <w:topLinePunct w:val="0"/>
        <w:autoSpaceDE/>
        <w:autoSpaceDN/>
        <w:bidi w:val="0"/>
        <w:adjustRightInd/>
        <w:snapToGrid/>
        <w:spacing w:line="590" w:lineRule="exact"/>
        <w:ind w:firstLine="640" w:firstLineChars="200"/>
        <w:textAlignment w:val="auto"/>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（五）应急处置费用。</w:t>
      </w:r>
    </w:p>
    <w:p w14:paraId="343F9D58">
      <w:pPr>
        <w:keepNext w:val="0"/>
        <w:keepLines w:val="0"/>
        <w:pageBreakBefore w:val="0"/>
        <w:kinsoku/>
        <w:topLinePunct w:val="0"/>
        <w:autoSpaceDE/>
        <w:autoSpaceDN/>
        <w:bidi w:val="0"/>
        <w:adjustRightInd/>
        <w:snapToGrid/>
        <w:spacing w:line="590" w:lineRule="exact"/>
        <w:ind w:firstLine="640" w:firstLineChars="200"/>
        <w:textAlignment w:val="auto"/>
        <w:rPr>
          <w:rFonts w:ascii="仿宋_GB2312" w:eastAsia="仿宋_GB2312"/>
          <w:sz w:val="32"/>
          <w:szCs w:val="32"/>
        </w:rPr>
      </w:pPr>
      <w:r>
        <w:rPr>
          <w:rFonts w:hint="eastAsia" w:ascii="黑体" w:hAnsi="黑体" w:eastAsia="黑体"/>
          <w:sz w:val="32"/>
          <w:szCs w:val="32"/>
        </w:rPr>
        <w:t>第二十</w:t>
      </w:r>
      <w:r>
        <w:rPr>
          <w:rFonts w:hint="eastAsia" w:ascii="黑体" w:hAnsi="黑体" w:eastAsia="黑体"/>
          <w:sz w:val="32"/>
          <w:szCs w:val="32"/>
          <w:lang w:eastAsia="zh-CN"/>
        </w:rPr>
        <w:t>八</w:t>
      </w:r>
      <w:r>
        <w:rPr>
          <w:rFonts w:hint="eastAsia" w:ascii="黑体" w:hAnsi="黑体" w:eastAsia="黑体"/>
          <w:sz w:val="32"/>
          <w:szCs w:val="32"/>
        </w:rPr>
        <w:t xml:space="preserve">条 </w:t>
      </w:r>
      <w:r>
        <w:rPr>
          <w:rFonts w:hint="eastAsia" w:ascii="CESI仿宋-GB2312" w:hAnsi="CESI仿宋-GB2312" w:eastAsia="CESI仿宋-GB2312" w:cs="CESI仿宋-GB2312"/>
          <w:sz w:val="32"/>
          <w:szCs w:val="32"/>
        </w:rPr>
        <w:t>对已建成的农村生活污水处理设施如涉及较大维护、新铺设管网等大中修工程，各乡镇人民政府负责</w:t>
      </w:r>
      <w:r>
        <w:rPr>
          <w:rFonts w:hint="eastAsia" w:ascii="CESI仿宋-GB2312" w:hAnsi="CESI仿宋-GB2312" w:eastAsia="CESI仿宋-GB2312" w:cs="CESI仿宋-GB2312"/>
          <w:sz w:val="32"/>
          <w:szCs w:val="32"/>
          <w:lang w:eastAsia="zh-CN"/>
        </w:rPr>
        <w:t>建设和修缮等需求</w:t>
      </w:r>
      <w:r>
        <w:rPr>
          <w:rFonts w:hint="eastAsia" w:ascii="CESI仿宋-GB2312" w:hAnsi="CESI仿宋-GB2312" w:eastAsia="CESI仿宋-GB2312" w:cs="CESI仿宋-GB2312"/>
          <w:sz w:val="32"/>
          <w:szCs w:val="32"/>
        </w:rPr>
        <w:t>摸排</w:t>
      </w:r>
      <w:r>
        <w:rPr>
          <w:rFonts w:hint="eastAsia" w:ascii="CESI仿宋-GB2312" w:hAnsi="CESI仿宋-GB2312" w:eastAsia="CESI仿宋-GB2312" w:cs="CESI仿宋-GB2312"/>
          <w:sz w:val="32"/>
          <w:szCs w:val="32"/>
          <w:lang w:eastAsia="zh-CN"/>
        </w:rPr>
        <w:t>工作</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并组织编制工程</w:t>
      </w:r>
      <w:r>
        <w:rPr>
          <w:rFonts w:hint="eastAsia" w:ascii="CESI仿宋-GB2312" w:hAnsi="CESI仿宋-GB2312" w:eastAsia="CESI仿宋-GB2312" w:cs="CESI仿宋-GB2312"/>
          <w:sz w:val="32"/>
          <w:szCs w:val="32"/>
        </w:rPr>
        <w:t>预算</w:t>
      </w:r>
      <w:r>
        <w:rPr>
          <w:rFonts w:hint="eastAsia" w:ascii="CESI仿宋-GB2312" w:hAnsi="CESI仿宋-GB2312" w:eastAsia="CESI仿宋-GB2312" w:cs="CESI仿宋-GB2312"/>
          <w:sz w:val="32"/>
          <w:szCs w:val="32"/>
          <w:lang w:eastAsia="zh-CN"/>
        </w:rPr>
        <w:t>，统计和汇总所需资金后做好上报。由县级相关主管部门</w:t>
      </w:r>
      <w:r>
        <w:rPr>
          <w:rFonts w:hint="eastAsia" w:ascii="CESI仿宋-GB2312" w:hAnsi="CESI仿宋-GB2312" w:eastAsia="CESI仿宋-GB2312" w:cs="CESI仿宋-GB2312"/>
          <w:sz w:val="32"/>
          <w:szCs w:val="32"/>
        </w:rPr>
        <w:t>筹集资金</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可上报申请专项资金或统筹其他资金等渠道解决。</w:t>
      </w:r>
    </w:p>
    <w:p w14:paraId="47A312A9">
      <w:pPr>
        <w:ind w:firstLine="640" w:firstLineChars="200"/>
        <w:rPr>
          <w:rFonts w:ascii="仿宋_GB2312" w:eastAsia="仿宋_GB2312"/>
          <w:sz w:val="32"/>
          <w:szCs w:val="32"/>
        </w:rPr>
      </w:pPr>
      <w:r>
        <w:rPr>
          <w:rFonts w:hint="eastAsia" w:ascii="黑体" w:hAnsi="黑体" w:eastAsia="黑体"/>
          <w:sz w:val="32"/>
          <w:szCs w:val="32"/>
        </w:rPr>
        <w:t>第二十</w:t>
      </w:r>
      <w:r>
        <w:rPr>
          <w:rFonts w:hint="eastAsia" w:ascii="黑体" w:hAnsi="黑体" w:eastAsia="黑体"/>
          <w:sz w:val="32"/>
          <w:szCs w:val="32"/>
          <w:lang w:eastAsia="zh-CN"/>
        </w:rPr>
        <w:t>九</w:t>
      </w:r>
      <w:r>
        <w:rPr>
          <w:rFonts w:hint="eastAsia" w:ascii="黑体" w:hAnsi="黑体" w:eastAsia="黑体"/>
          <w:sz w:val="32"/>
          <w:szCs w:val="32"/>
        </w:rPr>
        <w:t xml:space="preserve">条 </w:t>
      </w:r>
      <w:r>
        <w:rPr>
          <w:rFonts w:hint="eastAsia" w:ascii="仿宋_GB2312" w:eastAsia="仿宋_GB2312"/>
          <w:sz w:val="32"/>
          <w:szCs w:val="32"/>
        </w:rPr>
        <w:t>鼓励通过企事业单位、社会团体、公众自愿捐赠和随自来水费收取适当的污水处理费等方式，以及民族地区申请上级财政资金支持等方式，多渠道筹措运行维护管理经费。</w:t>
      </w:r>
    </w:p>
    <w:p w14:paraId="1FA5C7DE">
      <w:pPr>
        <w:ind w:firstLine="640" w:firstLineChars="200"/>
        <w:rPr>
          <w:rFonts w:hint="eastAsia" w:ascii="仿宋_GB2312" w:eastAsia="仿宋_GB2312"/>
          <w:sz w:val="32"/>
          <w:szCs w:val="32"/>
          <w:lang w:eastAsia="zh-CN"/>
        </w:rPr>
      </w:pPr>
      <w:r>
        <w:rPr>
          <w:rFonts w:hint="eastAsia" w:ascii="黑体" w:hAnsi="黑体" w:eastAsia="黑体"/>
          <w:sz w:val="32"/>
          <w:szCs w:val="32"/>
        </w:rPr>
        <w:t>第</w:t>
      </w:r>
      <w:r>
        <w:rPr>
          <w:rFonts w:hint="eastAsia" w:ascii="黑体" w:hAnsi="黑体" w:eastAsia="黑体"/>
          <w:sz w:val="32"/>
          <w:szCs w:val="32"/>
          <w:lang w:eastAsia="zh-CN"/>
        </w:rPr>
        <w:t>三十</w:t>
      </w:r>
      <w:r>
        <w:rPr>
          <w:rFonts w:hint="eastAsia" w:ascii="黑体" w:hAnsi="黑体" w:eastAsia="黑体"/>
          <w:sz w:val="32"/>
          <w:szCs w:val="32"/>
        </w:rPr>
        <w:t>条</w:t>
      </w:r>
      <w:r>
        <w:rPr>
          <w:rFonts w:hint="eastAsia" w:ascii="仿宋_GB2312" w:eastAsia="仿宋_GB2312"/>
          <w:sz w:val="32"/>
          <w:szCs w:val="32"/>
        </w:rPr>
        <w:t xml:space="preserve"> 乡镇人民政府应加强</w:t>
      </w:r>
      <w:r>
        <w:rPr>
          <w:rFonts w:hint="eastAsia" w:ascii="仿宋_GB2312" w:eastAsia="仿宋_GB2312"/>
          <w:sz w:val="32"/>
          <w:szCs w:val="32"/>
          <w:lang w:eastAsia="zh-CN"/>
        </w:rPr>
        <w:t>运维</w:t>
      </w:r>
      <w:r>
        <w:rPr>
          <w:rFonts w:hint="eastAsia" w:ascii="仿宋_GB2312" w:eastAsia="仿宋_GB2312"/>
          <w:sz w:val="32"/>
          <w:szCs w:val="32"/>
        </w:rPr>
        <w:t>经费使用管理，专款专用。任何单位和个人不得截留、挤占、挪用资金。</w:t>
      </w:r>
    </w:p>
    <w:p w14:paraId="5BC97015">
      <w:pPr>
        <w:jc w:val="center"/>
        <w:rPr>
          <w:rFonts w:ascii="仿宋_GB2312" w:eastAsia="仿宋_GB2312"/>
          <w:sz w:val="32"/>
          <w:szCs w:val="32"/>
        </w:rPr>
      </w:pPr>
      <w:r>
        <w:rPr>
          <w:rFonts w:hint="eastAsia" w:ascii="黑体" w:hAnsi="黑体" w:eastAsia="黑体"/>
          <w:sz w:val="32"/>
          <w:szCs w:val="32"/>
        </w:rPr>
        <w:t>第六章 附则</w:t>
      </w:r>
    </w:p>
    <w:p w14:paraId="01D5E774">
      <w:pPr>
        <w:spacing w:line="700" w:lineRule="exact"/>
        <w:jc w:val="center"/>
        <w:rPr>
          <w:rFonts w:hint="eastAsia" w:ascii="仿宋_GB2312" w:eastAsia="仿宋_GB2312"/>
          <w:sz w:val="32"/>
          <w:szCs w:val="32"/>
        </w:rPr>
      </w:pPr>
      <w:r>
        <w:rPr>
          <w:rFonts w:hint="eastAsia" w:ascii="黑体" w:hAnsi="黑体" w:eastAsia="黑体"/>
          <w:sz w:val="32"/>
          <w:szCs w:val="32"/>
        </w:rPr>
        <w:t>第</w:t>
      </w:r>
      <w:r>
        <w:rPr>
          <w:rFonts w:hint="eastAsia" w:ascii="黑体" w:hAnsi="黑体" w:eastAsia="黑体"/>
          <w:sz w:val="32"/>
          <w:szCs w:val="32"/>
          <w:lang w:val="en-US" w:eastAsia="zh-CN"/>
        </w:rPr>
        <w:t>三十一</w:t>
      </w:r>
      <w:r>
        <w:rPr>
          <w:rFonts w:hint="eastAsia" w:ascii="黑体" w:hAnsi="黑体" w:eastAsia="黑体"/>
          <w:sz w:val="32"/>
          <w:szCs w:val="32"/>
        </w:rPr>
        <w:t xml:space="preserve">条 </w:t>
      </w:r>
      <w:r>
        <w:rPr>
          <w:rFonts w:hint="eastAsia" w:ascii="仿宋_GB2312" w:eastAsia="仿宋_GB2312"/>
          <w:sz w:val="32"/>
          <w:szCs w:val="32"/>
        </w:rPr>
        <w:t>本办法自印发之日起施行，有效期三年。</w:t>
      </w:r>
    </w:p>
    <w:p w14:paraId="3C77C16A">
      <w:pPr>
        <w:spacing w:line="700" w:lineRule="exact"/>
        <w:jc w:val="both"/>
        <w:rPr>
          <w:rFonts w:hint="eastAsia" w:ascii="仿宋_GB2312" w:eastAsia="仿宋_GB2312"/>
          <w:sz w:val="32"/>
          <w:szCs w:val="32"/>
        </w:rPr>
        <w:sectPr>
          <w:footerReference r:id="rId3" w:type="default"/>
          <w:footerReference r:id="rId4" w:type="even"/>
          <w:pgSz w:w="11906" w:h="16838"/>
          <w:pgMar w:top="2098" w:right="1474" w:bottom="1984" w:left="1587" w:header="850" w:footer="1474" w:gutter="0"/>
          <w:cols w:space="0" w:num="1"/>
          <w:docGrid w:type="lines" w:linePitch="579" w:charSpace="0"/>
        </w:sectPr>
      </w:pPr>
    </w:p>
    <w:p w14:paraId="46B2D2CD">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6585F190">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黑体" w:hAnsi="黑体" w:eastAsia="黑体" w:cs="黑体"/>
          <w:sz w:val="32"/>
          <w:szCs w:val="32"/>
          <w:lang w:val="en-US" w:eastAsia="zh-CN"/>
        </w:rPr>
      </w:pPr>
    </w:p>
    <w:p w14:paraId="21D6E2B7">
      <w:pPr>
        <w:pStyle w:val="17"/>
        <w:keepNext w:val="0"/>
        <w:keepLines w:val="0"/>
        <w:pageBreakBefore w:val="0"/>
        <w:widowControl w:val="0"/>
        <w:kinsoku/>
        <w:wordWrap/>
        <w:overflowPunct w:val="0"/>
        <w:topLinePunct w:val="0"/>
        <w:bidi w:val="0"/>
        <w:adjustRightInd/>
        <w:snapToGrid/>
        <w:spacing w:line="560" w:lineRule="exact"/>
        <w:ind w:left="0" w:leftChars="0" w:right="0" w:rightChars="0" w:firstLine="0" w:firstLineChars="0"/>
        <w:jc w:val="center"/>
        <w:textAlignment w:val="auto"/>
        <w:outlineLvl w:val="9"/>
        <w:rPr>
          <w:rFonts w:hint="default" w:ascii="方正小标宋简体" w:eastAsia="方正小标宋简体"/>
          <w:bCs/>
          <w:sz w:val="44"/>
          <w:szCs w:val="44"/>
          <w:lang w:val="en-US" w:eastAsia="zh-CN"/>
        </w:rPr>
      </w:pPr>
      <w:r>
        <w:rPr>
          <w:rFonts w:hint="eastAsia" w:ascii="方正小标宋简体" w:eastAsia="方正小标宋简体"/>
          <w:bCs/>
          <w:sz w:val="44"/>
          <w:szCs w:val="44"/>
          <w:lang w:val="en-US" w:eastAsia="zh-CN"/>
        </w:rPr>
        <w:t>始兴县农村生活污水处理设施运行维护评估评分</w:t>
      </w:r>
      <w:r>
        <w:rPr>
          <w:rFonts w:hint="default" w:ascii="方正小标宋简体" w:eastAsia="方正小标宋简体"/>
          <w:bCs/>
          <w:sz w:val="44"/>
          <w:szCs w:val="44"/>
          <w:lang w:val="en-US" w:eastAsia="zh-CN"/>
        </w:rPr>
        <w:t>细则</w:t>
      </w:r>
    </w:p>
    <w:tbl>
      <w:tblPr>
        <w:tblStyle w:val="8"/>
        <w:tblW w:w="589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22"/>
        <w:gridCol w:w="1391"/>
        <w:gridCol w:w="4648"/>
        <w:gridCol w:w="5035"/>
        <w:gridCol w:w="804"/>
        <w:gridCol w:w="1814"/>
      </w:tblGrid>
      <w:tr w14:paraId="11331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blHeader/>
          <w:jc w:val="center"/>
        </w:trPr>
        <w:tc>
          <w:tcPr>
            <w:tcW w:w="500" w:type="pct"/>
            <w:tcBorders>
              <w:top w:val="single" w:color="000000" w:sz="8" w:space="0"/>
              <w:left w:val="single" w:color="000000" w:sz="8" w:space="0"/>
              <w:bottom w:val="single" w:color="000000" w:sz="8" w:space="0"/>
              <w:right w:val="single" w:color="000000" w:sz="8" w:space="0"/>
            </w:tcBorders>
            <w:noWrap w:val="0"/>
            <w:vAlign w:val="center"/>
          </w:tcPr>
          <w:p w14:paraId="707938C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楷体_GB2312" w:hAnsi="楷体_GB2312" w:eastAsia="楷体_GB2312" w:cs="楷体_GB2312"/>
                <w:b/>
                <w:bCs/>
                <w:sz w:val="28"/>
                <w:szCs w:val="28"/>
                <w:lang w:val="en-US" w:eastAsia="zh-CN"/>
              </w:rPr>
            </w:pPr>
            <w:r>
              <w:rPr>
                <w:rFonts w:hint="eastAsia" w:ascii="楷体_GB2312" w:hAnsi="楷体_GB2312" w:eastAsia="楷体_GB2312" w:cs="楷体_GB2312"/>
                <w:b/>
                <w:bCs/>
                <w:sz w:val="28"/>
                <w:szCs w:val="28"/>
                <w:lang w:val="en-US" w:eastAsia="zh-CN"/>
              </w:rPr>
              <w:t>评价项目</w:t>
            </w:r>
          </w:p>
        </w:tc>
        <w:tc>
          <w:tcPr>
            <w:tcW w:w="457" w:type="pct"/>
            <w:tcBorders>
              <w:top w:val="single" w:color="000000" w:sz="8" w:space="0"/>
              <w:left w:val="single" w:color="000000" w:sz="8" w:space="0"/>
              <w:bottom w:val="single" w:color="000000" w:sz="8" w:space="0"/>
              <w:right w:val="single" w:color="000000" w:sz="8" w:space="0"/>
            </w:tcBorders>
            <w:noWrap w:val="0"/>
            <w:vAlign w:val="center"/>
          </w:tcPr>
          <w:p w14:paraId="4D0B725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楷体_GB2312" w:hAnsi="楷体_GB2312" w:eastAsia="楷体_GB2312" w:cs="楷体_GB2312"/>
                <w:b/>
                <w:bCs/>
                <w:sz w:val="28"/>
                <w:szCs w:val="28"/>
                <w:lang w:val="en-US" w:eastAsia="zh-CN"/>
              </w:rPr>
            </w:pPr>
            <w:r>
              <w:rPr>
                <w:rFonts w:hint="eastAsia" w:ascii="楷体_GB2312" w:hAnsi="楷体_GB2312" w:eastAsia="楷体_GB2312" w:cs="楷体_GB2312"/>
                <w:b/>
                <w:bCs/>
                <w:sz w:val="28"/>
                <w:szCs w:val="28"/>
                <w:lang w:val="en-US" w:eastAsia="zh-CN"/>
              </w:rPr>
              <w:t>评分指标</w:t>
            </w:r>
          </w:p>
        </w:tc>
        <w:tc>
          <w:tcPr>
            <w:tcW w:w="1527" w:type="pct"/>
            <w:tcBorders>
              <w:top w:val="single" w:color="000000" w:sz="8" w:space="0"/>
              <w:left w:val="single" w:color="000000" w:sz="8" w:space="0"/>
              <w:bottom w:val="single" w:color="000000" w:sz="8" w:space="0"/>
              <w:right w:val="single" w:color="000000" w:sz="8" w:space="0"/>
            </w:tcBorders>
            <w:noWrap w:val="0"/>
            <w:vAlign w:val="center"/>
          </w:tcPr>
          <w:p w14:paraId="4C9CB77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楷体_GB2312" w:hAnsi="楷体_GB2312" w:eastAsia="楷体_GB2312" w:cs="楷体_GB2312"/>
                <w:b/>
                <w:bCs/>
                <w:sz w:val="28"/>
                <w:szCs w:val="28"/>
                <w:lang w:val="en-US" w:eastAsia="zh-CN"/>
              </w:rPr>
            </w:pPr>
            <w:r>
              <w:rPr>
                <w:rFonts w:hint="eastAsia" w:ascii="楷体_GB2312" w:hAnsi="楷体_GB2312" w:eastAsia="楷体_GB2312" w:cs="楷体_GB2312"/>
                <w:b/>
                <w:bCs/>
                <w:sz w:val="28"/>
                <w:szCs w:val="28"/>
                <w:lang w:val="en-US" w:eastAsia="zh-CN"/>
              </w:rPr>
              <w:t>质量要求</w:t>
            </w:r>
          </w:p>
        </w:tc>
        <w:tc>
          <w:tcPr>
            <w:tcW w:w="1654" w:type="pct"/>
            <w:tcBorders>
              <w:top w:val="single" w:color="000000" w:sz="8" w:space="0"/>
              <w:left w:val="single" w:color="000000" w:sz="8" w:space="0"/>
              <w:bottom w:val="single" w:color="000000" w:sz="8" w:space="0"/>
              <w:right w:val="single" w:color="000000" w:sz="8" w:space="0"/>
            </w:tcBorders>
            <w:noWrap w:val="0"/>
            <w:vAlign w:val="center"/>
          </w:tcPr>
          <w:p w14:paraId="76B0FEB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楷体_GB2312" w:hAnsi="楷体_GB2312" w:eastAsia="楷体_GB2312" w:cs="楷体_GB2312"/>
                <w:b/>
                <w:bCs/>
                <w:sz w:val="28"/>
                <w:szCs w:val="28"/>
                <w:lang w:val="en-US" w:eastAsia="zh-CN"/>
              </w:rPr>
            </w:pPr>
            <w:r>
              <w:rPr>
                <w:rFonts w:hint="eastAsia" w:ascii="楷体_GB2312" w:hAnsi="楷体_GB2312" w:eastAsia="楷体_GB2312" w:cs="楷体_GB2312"/>
                <w:b/>
                <w:bCs/>
                <w:sz w:val="28"/>
                <w:szCs w:val="28"/>
                <w:lang w:val="en-US" w:eastAsia="zh-CN"/>
              </w:rPr>
              <w:t>评分标准</w:t>
            </w:r>
          </w:p>
        </w:tc>
        <w:tc>
          <w:tcPr>
            <w:tcW w:w="264" w:type="pct"/>
            <w:tcBorders>
              <w:top w:val="single" w:color="000000" w:sz="8" w:space="0"/>
              <w:left w:val="single" w:color="000000" w:sz="8" w:space="0"/>
              <w:bottom w:val="single" w:color="000000" w:sz="8" w:space="0"/>
              <w:right w:val="single" w:color="000000" w:sz="8" w:space="0"/>
            </w:tcBorders>
            <w:noWrap w:val="0"/>
            <w:vAlign w:val="center"/>
          </w:tcPr>
          <w:p w14:paraId="7E0BE74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楷体_GB2312" w:hAnsi="楷体_GB2312" w:eastAsia="楷体_GB2312" w:cs="楷体_GB2312"/>
                <w:b/>
                <w:bCs/>
                <w:sz w:val="28"/>
                <w:szCs w:val="28"/>
                <w:lang w:val="en-US" w:eastAsia="zh-CN"/>
              </w:rPr>
            </w:pPr>
            <w:r>
              <w:rPr>
                <w:rFonts w:hint="eastAsia" w:ascii="楷体_GB2312" w:hAnsi="楷体_GB2312" w:eastAsia="楷体_GB2312" w:cs="楷体_GB2312"/>
                <w:b/>
                <w:bCs/>
                <w:sz w:val="28"/>
                <w:szCs w:val="28"/>
                <w:lang w:val="en-US" w:eastAsia="zh-CN"/>
              </w:rPr>
              <w:t>分值</w:t>
            </w:r>
          </w:p>
        </w:tc>
        <w:tc>
          <w:tcPr>
            <w:tcW w:w="596" w:type="pct"/>
            <w:tcBorders>
              <w:top w:val="single" w:color="000000" w:sz="8" w:space="0"/>
              <w:left w:val="single" w:color="000000" w:sz="8" w:space="0"/>
              <w:bottom w:val="single" w:color="000000" w:sz="8" w:space="0"/>
              <w:right w:val="single" w:color="000000" w:sz="8" w:space="0"/>
            </w:tcBorders>
            <w:noWrap w:val="0"/>
            <w:vAlign w:val="center"/>
          </w:tcPr>
          <w:p w14:paraId="7746A658">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楷体_GB2312" w:hAnsi="楷体_GB2312" w:eastAsia="楷体_GB2312" w:cs="楷体_GB2312"/>
                <w:b/>
                <w:bCs/>
                <w:sz w:val="28"/>
                <w:szCs w:val="28"/>
                <w:lang w:val="en-US" w:eastAsia="zh-CN"/>
              </w:rPr>
            </w:pPr>
            <w:r>
              <w:rPr>
                <w:rFonts w:hint="eastAsia" w:ascii="楷体_GB2312" w:hAnsi="楷体_GB2312" w:eastAsia="楷体_GB2312" w:cs="楷体_GB2312"/>
                <w:b/>
                <w:bCs/>
                <w:sz w:val="28"/>
                <w:szCs w:val="28"/>
                <w:lang w:val="en-US" w:eastAsia="zh-CN"/>
              </w:rPr>
              <w:t>备注</w:t>
            </w:r>
          </w:p>
        </w:tc>
      </w:tr>
      <w:tr w14:paraId="6A630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500" w:type="pct"/>
            <w:tcBorders>
              <w:top w:val="single" w:color="000000" w:sz="8" w:space="0"/>
              <w:left w:val="single" w:color="000000" w:sz="8" w:space="0"/>
              <w:bottom w:val="single" w:color="000000" w:sz="8" w:space="0"/>
              <w:right w:val="single" w:color="000000" w:sz="8" w:space="0"/>
            </w:tcBorders>
            <w:noWrap w:val="0"/>
            <w:vAlign w:val="center"/>
          </w:tcPr>
          <w:p w14:paraId="031E6E6A">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质量控制（10分）</w:t>
            </w:r>
          </w:p>
        </w:tc>
        <w:tc>
          <w:tcPr>
            <w:tcW w:w="457" w:type="pct"/>
            <w:tcBorders>
              <w:top w:val="single" w:color="000000" w:sz="8" w:space="0"/>
              <w:left w:val="single" w:color="000000" w:sz="8" w:space="0"/>
              <w:bottom w:val="single" w:color="000000" w:sz="8" w:space="0"/>
              <w:right w:val="single" w:color="000000" w:sz="8" w:space="0"/>
            </w:tcBorders>
            <w:noWrap w:val="0"/>
            <w:vAlign w:val="center"/>
          </w:tcPr>
          <w:p w14:paraId="60737A6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出水水质指标</w:t>
            </w:r>
          </w:p>
        </w:tc>
        <w:tc>
          <w:tcPr>
            <w:tcW w:w="1527" w:type="pct"/>
            <w:tcBorders>
              <w:top w:val="single" w:color="000000" w:sz="8" w:space="0"/>
              <w:left w:val="single" w:color="000000" w:sz="8" w:space="0"/>
              <w:bottom w:val="single" w:color="000000" w:sz="8" w:space="0"/>
              <w:right w:val="single" w:color="000000" w:sz="8" w:space="0"/>
            </w:tcBorders>
            <w:noWrap w:val="0"/>
            <w:vAlign w:val="center"/>
          </w:tcPr>
          <w:p w14:paraId="4369FCC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设施出水符合广东省地方标准《农村生活污水处理排放标准》的有关规定。</w:t>
            </w:r>
          </w:p>
        </w:tc>
        <w:tc>
          <w:tcPr>
            <w:tcW w:w="1654" w:type="pct"/>
            <w:tcBorders>
              <w:top w:val="single" w:color="000000" w:sz="8" w:space="0"/>
              <w:left w:val="single" w:color="000000" w:sz="8" w:space="0"/>
              <w:bottom w:val="single" w:color="000000" w:sz="8" w:space="0"/>
              <w:right w:val="single" w:color="000000" w:sz="8" w:space="0"/>
            </w:tcBorders>
            <w:noWrap w:val="0"/>
            <w:vAlign w:val="center"/>
          </w:tcPr>
          <w:p w14:paraId="70945B8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一票否决项，化学需氧量或氨氮指标不达标，该村不通过。</w:t>
            </w:r>
          </w:p>
        </w:tc>
        <w:tc>
          <w:tcPr>
            <w:tcW w:w="264" w:type="pct"/>
            <w:tcBorders>
              <w:top w:val="single" w:color="000000" w:sz="8" w:space="0"/>
              <w:left w:val="single" w:color="000000" w:sz="8" w:space="0"/>
              <w:bottom w:val="single" w:color="000000" w:sz="8" w:space="0"/>
              <w:right w:val="single" w:color="000000" w:sz="8" w:space="0"/>
            </w:tcBorders>
            <w:noWrap w:val="0"/>
            <w:vAlign w:val="center"/>
          </w:tcPr>
          <w:p w14:paraId="2DA4F948">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w:t>
            </w:r>
          </w:p>
        </w:tc>
        <w:tc>
          <w:tcPr>
            <w:tcW w:w="596" w:type="pct"/>
            <w:tcBorders>
              <w:top w:val="single" w:color="000000" w:sz="8" w:space="0"/>
              <w:left w:val="single" w:color="000000" w:sz="8" w:space="0"/>
              <w:bottom w:val="single" w:color="000000" w:sz="8" w:space="0"/>
              <w:right w:val="single" w:color="000000" w:sz="8" w:space="0"/>
            </w:tcBorders>
            <w:noWrap w:val="0"/>
            <w:vAlign w:val="center"/>
          </w:tcPr>
          <w:p w14:paraId="09A2AA68">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仅针对建设设施模式，纳厂及资源化利用不涉及该项目</w:t>
            </w:r>
          </w:p>
        </w:tc>
      </w:tr>
      <w:tr w14:paraId="0DC9F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500" w:type="pct"/>
            <w:vMerge w:val="restart"/>
            <w:tcBorders>
              <w:top w:val="single" w:color="000000" w:sz="8" w:space="0"/>
              <w:left w:val="single" w:color="000000" w:sz="8" w:space="0"/>
              <w:right w:val="single" w:color="000000" w:sz="8" w:space="0"/>
            </w:tcBorders>
            <w:noWrap w:val="0"/>
            <w:vAlign w:val="center"/>
          </w:tcPr>
          <w:p w14:paraId="3A8A4B1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污水收集系统管理（20分）</w:t>
            </w:r>
          </w:p>
        </w:tc>
        <w:tc>
          <w:tcPr>
            <w:tcW w:w="457" w:type="pct"/>
            <w:tcBorders>
              <w:top w:val="single" w:color="000000" w:sz="8" w:space="0"/>
              <w:left w:val="single" w:color="000000" w:sz="8" w:space="0"/>
              <w:bottom w:val="single" w:color="000000" w:sz="8" w:space="0"/>
              <w:right w:val="single" w:color="000000" w:sz="8" w:space="0"/>
            </w:tcBorders>
            <w:noWrap w:val="0"/>
            <w:vAlign w:val="center"/>
          </w:tcPr>
          <w:p w14:paraId="4AA9380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管道和检查井</w:t>
            </w:r>
          </w:p>
        </w:tc>
        <w:tc>
          <w:tcPr>
            <w:tcW w:w="1527" w:type="pct"/>
            <w:tcBorders>
              <w:top w:val="single" w:color="000000" w:sz="8" w:space="0"/>
              <w:left w:val="single" w:color="000000" w:sz="8" w:space="0"/>
              <w:bottom w:val="single" w:color="000000" w:sz="8" w:space="0"/>
              <w:right w:val="single" w:color="000000" w:sz="8" w:space="0"/>
            </w:tcBorders>
            <w:noWrap w:val="0"/>
            <w:vAlign w:val="center"/>
          </w:tcPr>
          <w:p w14:paraId="055D580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定期检查污水收集管道及检查井，清理淤积物；及时修复损坏或堵塞的管渠和检查井，保持过流通畅；厨房水、洗浴水等“灰水”应接尽接。</w:t>
            </w:r>
          </w:p>
        </w:tc>
        <w:tc>
          <w:tcPr>
            <w:tcW w:w="1654" w:type="pct"/>
            <w:tcBorders>
              <w:top w:val="single" w:color="000000" w:sz="8" w:space="0"/>
              <w:left w:val="single" w:color="000000" w:sz="8" w:space="0"/>
              <w:bottom w:val="single" w:color="000000" w:sz="8" w:space="0"/>
              <w:right w:val="single" w:color="000000" w:sz="8" w:space="0"/>
            </w:tcBorders>
            <w:noWrap w:val="0"/>
            <w:vAlign w:val="center"/>
          </w:tcPr>
          <w:p w14:paraId="45DDF398">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原则上抽查5个井段，污水收集管道未及时清淤清渣，管道或检查井破损未及时修复，每发现一处扣5分。如因管道检查井问题导致污水横流超2处，一票否决，该村不通过。</w:t>
            </w:r>
          </w:p>
        </w:tc>
        <w:tc>
          <w:tcPr>
            <w:tcW w:w="264" w:type="pct"/>
            <w:tcBorders>
              <w:top w:val="single" w:color="000000" w:sz="8" w:space="0"/>
              <w:left w:val="single" w:color="000000" w:sz="8" w:space="0"/>
              <w:bottom w:val="single" w:color="000000" w:sz="8" w:space="0"/>
              <w:right w:val="single" w:color="000000" w:sz="8" w:space="0"/>
            </w:tcBorders>
            <w:noWrap w:val="0"/>
            <w:vAlign w:val="center"/>
          </w:tcPr>
          <w:p w14:paraId="62F5F9E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w:t>
            </w:r>
          </w:p>
        </w:tc>
        <w:tc>
          <w:tcPr>
            <w:tcW w:w="596" w:type="pct"/>
            <w:tcBorders>
              <w:top w:val="single" w:color="000000" w:sz="8" w:space="0"/>
              <w:left w:val="single" w:color="000000" w:sz="8" w:space="0"/>
              <w:bottom w:val="single" w:color="000000" w:sz="8" w:space="0"/>
              <w:right w:val="single" w:color="000000" w:sz="8" w:space="0"/>
            </w:tcBorders>
            <w:noWrap w:val="0"/>
            <w:vAlign w:val="center"/>
          </w:tcPr>
          <w:p w14:paraId="2F77A7E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在纳厂模式中分值为20分</w:t>
            </w:r>
          </w:p>
        </w:tc>
      </w:tr>
      <w:tr w14:paraId="0604A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3" w:hRule="atLeast"/>
          <w:jc w:val="center"/>
        </w:trPr>
        <w:tc>
          <w:tcPr>
            <w:tcW w:w="500" w:type="pct"/>
            <w:vMerge w:val="continue"/>
            <w:tcBorders>
              <w:left w:val="single" w:color="000000" w:sz="8" w:space="0"/>
              <w:right w:val="single" w:color="000000" w:sz="8" w:space="0"/>
            </w:tcBorders>
            <w:noWrap w:val="0"/>
            <w:vAlign w:val="center"/>
          </w:tcPr>
          <w:p w14:paraId="28979F4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457" w:type="pct"/>
            <w:tcBorders>
              <w:top w:val="single" w:color="000000" w:sz="8" w:space="0"/>
              <w:left w:val="single" w:color="000000" w:sz="8" w:space="0"/>
              <w:bottom w:val="single" w:color="000000" w:sz="8" w:space="0"/>
              <w:right w:val="single" w:color="000000" w:sz="8" w:space="0"/>
            </w:tcBorders>
            <w:noWrap w:val="0"/>
            <w:vAlign w:val="center"/>
          </w:tcPr>
          <w:p w14:paraId="0916CDA8">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井盖等附属设施</w:t>
            </w:r>
          </w:p>
        </w:tc>
        <w:tc>
          <w:tcPr>
            <w:tcW w:w="1527" w:type="pct"/>
            <w:tcBorders>
              <w:top w:val="single" w:color="000000" w:sz="8" w:space="0"/>
              <w:left w:val="single" w:color="000000" w:sz="8" w:space="0"/>
              <w:bottom w:val="single" w:color="000000" w:sz="8" w:space="0"/>
              <w:right w:val="single" w:color="000000" w:sz="8" w:space="0"/>
            </w:tcBorders>
            <w:noWrap w:val="0"/>
            <w:vAlign w:val="center"/>
          </w:tcPr>
          <w:p w14:paraId="39B0560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及时更换或修复缺失或损坏的井盖等附属设施，保证检查井的完整性和安全性。</w:t>
            </w:r>
          </w:p>
        </w:tc>
        <w:tc>
          <w:tcPr>
            <w:tcW w:w="1654" w:type="pct"/>
            <w:tcBorders>
              <w:top w:val="single" w:color="000000" w:sz="8" w:space="0"/>
              <w:left w:val="single" w:color="000000" w:sz="8" w:space="0"/>
              <w:bottom w:val="single" w:color="000000" w:sz="8" w:space="0"/>
              <w:right w:val="single" w:color="000000" w:sz="8" w:space="0"/>
            </w:tcBorders>
            <w:noWrap w:val="0"/>
            <w:vAlign w:val="center"/>
          </w:tcPr>
          <w:p w14:paraId="6BB0B45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抽查5个井段，井盖等附属设施损毁、缺失，每发现一处扣2分。</w:t>
            </w:r>
          </w:p>
        </w:tc>
        <w:tc>
          <w:tcPr>
            <w:tcW w:w="264" w:type="pct"/>
            <w:tcBorders>
              <w:top w:val="single" w:color="000000" w:sz="8" w:space="0"/>
              <w:left w:val="single" w:color="000000" w:sz="8" w:space="0"/>
              <w:bottom w:val="single" w:color="000000" w:sz="8" w:space="0"/>
              <w:right w:val="single" w:color="000000" w:sz="8" w:space="0"/>
            </w:tcBorders>
            <w:noWrap w:val="0"/>
            <w:vAlign w:val="center"/>
          </w:tcPr>
          <w:p w14:paraId="081C1EB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w:t>
            </w:r>
          </w:p>
        </w:tc>
        <w:tc>
          <w:tcPr>
            <w:tcW w:w="596" w:type="pct"/>
            <w:tcBorders>
              <w:top w:val="single" w:color="000000" w:sz="8" w:space="0"/>
              <w:left w:val="single" w:color="000000" w:sz="8" w:space="0"/>
              <w:bottom w:val="single" w:color="000000" w:sz="8" w:space="0"/>
              <w:right w:val="single" w:color="000000" w:sz="8" w:space="0"/>
            </w:tcBorders>
            <w:noWrap w:val="0"/>
            <w:vAlign w:val="center"/>
          </w:tcPr>
          <w:p w14:paraId="6D0D108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在纳厂模式中分值为20分</w:t>
            </w:r>
          </w:p>
        </w:tc>
      </w:tr>
      <w:tr w14:paraId="25708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3" w:hRule="atLeast"/>
          <w:jc w:val="center"/>
        </w:trPr>
        <w:tc>
          <w:tcPr>
            <w:tcW w:w="500" w:type="pct"/>
            <w:vMerge w:val="continue"/>
            <w:tcBorders>
              <w:left w:val="single" w:color="000000" w:sz="8" w:space="0"/>
              <w:bottom w:val="single" w:color="000000" w:sz="8" w:space="0"/>
              <w:right w:val="single" w:color="000000" w:sz="8" w:space="0"/>
            </w:tcBorders>
            <w:noWrap w:val="0"/>
            <w:vAlign w:val="center"/>
          </w:tcPr>
          <w:p w14:paraId="0E21349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457" w:type="pct"/>
            <w:tcBorders>
              <w:top w:val="single" w:color="000000" w:sz="8" w:space="0"/>
              <w:left w:val="single" w:color="000000" w:sz="8" w:space="0"/>
              <w:bottom w:val="single" w:color="000000" w:sz="8" w:space="0"/>
              <w:right w:val="single" w:color="000000" w:sz="8" w:space="0"/>
            </w:tcBorders>
            <w:noWrap w:val="0"/>
            <w:vAlign w:val="center"/>
          </w:tcPr>
          <w:p w14:paraId="31C2B8D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是否联通市政管网</w:t>
            </w:r>
          </w:p>
        </w:tc>
        <w:tc>
          <w:tcPr>
            <w:tcW w:w="1527" w:type="pct"/>
            <w:tcBorders>
              <w:top w:val="single" w:color="000000" w:sz="8" w:space="0"/>
              <w:left w:val="single" w:color="000000" w:sz="8" w:space="0"/>
              <w:bottom w:val="single" w:color="000000" w:sz="8" w:space="0"/>
              <w:right w:val="single" w:color="000000" w:sz="8" w:space="0"/>
            </w:tcBorders>
            <w:noWrap w:val="0"/>
            <w:vAlign w:val="center"/>
          </w:tcPr>
          <w:p w14:paraId="27A477E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村内污水收集系统联通市政管网，确保污水进入污水处理厂。 </w:t>
            </w:r>
          </w:p>
        </w:tc>
        <w:tc>
          <w:tcPr>
            <w:tcW w:w="1654" w:type="pct"/>
            <w:tcBorders>
              <w:top w:val="single" w:color="000000" w:sz="8" w:space="0"/>
              <w:left w:val="single" w:color="000000" w:sz="8" w:space="0"/>
              <w:bottom w:val="single" w:color="000000" w:sz="8" w:space="0"/>
              <w:right w:val="single" w:color="000000" w:sz="8" w:space="0"/>
            </w:tcBorders>
            <w:noWrap w:val="0"/>
            <w:vAlign w:val="center"/>
          </w:tcPr>
          <w:p w14:paraId="574D023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一票否决项，如未联通，该村不通过。</w:t>
            </w:r>
          </w:p>
        </w:tc>
        <w:tc>
          <w:tcPr>
            <w:tcW w:w="264" w:type="pct"/>
            <w:tcBorders>
              <w:top w:val="single" w:color="000000" w:sz="8" w:space="0"/>
              <w:left w:val="single" w:color="000000" w:sz="8" w:space="0"/>
              <w:bottom w:val="single" w:color="000000" w:sz="8" w:space="0"/>
              <w:right w:val="single" w:color="000000" w:sz="8" w:space="0"/>
            </w:tcBorders>
            <w:noWrap w:val="0"/>
            <w:vAlign w:val="center"/>
          </w:tcPr>
          <w:p w14:paraId="10AA6F3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p>
        </w:tc>
        <w:tc>
          <w:tcPr>
            <w:tcW w:w="596" w:type="pct"/>
            <w:tcBorders>
              <w:top w:val="single" w:color="000000" w:sz="8" w:space="0"/>
              <w:left w:val="single" w:color="000000" w:sz="8" w:space="0"/>
              <w:bottom w:val="single" w:color="000000" w:sz="8" w:space="0"/>
              <w:right w:val="single" w:color="000000" w:sz="8" w:space="0"/>
            </w:tcBorders>
            <w:noWrap w:val="0"/>
            <w:vAlign w:val="center"/>
          </w:tcPr>
          <w:p w14:paraId="15BEC65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仅纳厂模式使用，分值为20分</w:t>
            </w:r>
          </w:p>
        </w:tc>
      </w:tr>
      <w:tr w14:paraId="45DC3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500" w:type="pct"/>
            <w:vMerge w:val="restart"/>
            <w:tcBorders>
              <w:top w:val="single" w:color="000000" w:sz="8" w:space="0"/>
              <w:left w:val="single" w:color="000000" w:sz="8" w:space="0"/>
              <w:right w:val="single" w:color="000000" w:sz="8" w:space="0"/>
            </w:tcBorders>
            <w:noWrap w:val="0"/>
            <w:vAlign w:val="center"/>
          </w:tcPr>
          <w:p w14:paraId="4A13D9A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污水处理站点管理（30分）</w:t>
            </w:r>
          </w:p>
        </w:tc>
        <w:tc>
          <w:tcPr>
            <w:tcW w:w="457" w:type="pct"/>
            <w:tcBorders>
              <w:top w:val="single" w:color="000000" w:sz="8" w:space="0"/>
              <w:left w:val="single" w:color="000000" w:sz="8" w:space="0"/>
              <w:bottom w:val="single" w:color="000000" w:sz="8" w:space="0"/>
              <w:right w:val="single" w:color="000000" w:sz="8" w:space="0"/>
            </w:tcBorders>
            <w:noWrap w:val="0"/>
            <w:vAlign w:val="center"/>
          </w:tcPr>
          <w:p w14:paraId="3CFBF1A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环境卫生</w:t>
            </w:r>
          </w:p>
        </w:tc>
        <w:tc>
          <w:tcPr>
            <w:tcW w:w="1527" w:type="pct"/>
            <w:tcBorders>
              <w:top w:val="single" w:color="000000" w:sz="8" w:space="0"/>
              <w:left w:val="single" w:color="000000" w:sz="8" w:space="0"/>
              <w:bottom w:val="single" w:color="000000" w:sz="8" w:space="0"/>
              <w:right w:val="single" w:color="000000" w:sz="8" w:space="0"/>
            </w:tcBorders>
            <w:noWrap w:val="0"/>
            <w:vAlign w:val="center"/>
          </w:tcPr>
          <w:p w14:paraId="6A0106F2">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保持站点环境整洁、美观、卫生。</w:t>
            </w:r>
          </w:p>
        </w:tc>
        <w:tc>
          <w:tcPr>
            <w:tcW w:w="1654" w:type="pct"/>
            <w:tcBorders>
              <w:top w:val="single" w:color="000000" w:sz="8" w:space="0"/>
              <w:left w:val="single" w:color="000000" w:sz="8" w:space="0"/>
              <w:bottom w:val="single" w:color="000000" w:sz="8" w:space="0"/>
              <w:right w:val="single" w:color="000000" w:sz="8" w:space="0"/>
            </w:tcBorders>
            <w:noWrap w:val="0"/>
            <w:vAlign w:val="center"/>
          </w:tcPr>
          <w:p w14:paraId="32EE7515">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站点范围内有杂物、垃圾堆积或积水扣2分，站点及四周杂草丛生、未加清理扣3分。</w:t>
            </w:r>
          </w:p>
        </w:tc>
        <w:tc>
          <w:tcPr>
            <w:tcW w:w="264" w:type="pct"/>
            <w:tcBorders>
              <w:top w:val="single" w:color="000000" w:sz="8" w:space="0"/>
              <w:left w:val="single" w:color="000000" w:sz="8" w:space="0"/>
              <w:bottom w:val="single" w:color="000000" w:sz="8" w:space="0"/>
              <w:right w:val="single" w:color="000000" w:sz="8" w:space="0"/>
            </w:tcBorders>
            <w:noWrap w:val="0"/>
            <w:vAlign w:val="center"/>
          </w:tcPr>
          <w:p w14:paraId="0963BB1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p>
        </w:tc>
        <w:tc>
          <w:tcPr>
            <w:tcW w:w="596" w:type="pct"/>
            <w:tcBorders>
              <w:top w:val="single" w:color="000000" w:sz="8" w:space="0"/>
              <w:left w:val="single" w:color="000000" w:sz="8" w:space="0"/>
              <w:bottom w:val="single" w:color="000000" w:sz="8" w:space="0"/>
              <w:right w:val="single" w:color="000000" w:sz="8" w:space="0"/>
            </w:tcBorders>
            <w:noWrap w:val="0"/>
            <w:vAlign w:val="center"/>
          </w:tcPr>
          <w:p w14:paraId="4798965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p>
        </w:tc>
      </w:tr>
      <w:tr w14:paraId="2E399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500" w:type="pct"/>
            <w:vMerge w:val="continue"/>
            <w:tcBorders>
              <w:left w:val="single" w:color="000000" w:sz="8" w:space="0"/>
              <w:right w:val="single" w:color="000000" w:sz="8" w:space="0"/>
            </w:tcBorders>
            <w:noWrap w:val="0"/>
            <w:vAlign w:val="center"/>
          </w:tcPr>
          <w:p w14:paraId="08B2F6D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457" w:type="pct"/>
            <w:vMerge w:val="restart"/>
            <w:tcBorders>
              <w:top w:val="single" w:color="000000" w:sz="8" w:space="0"/>
              <w:left w:val="single" w:color="000000" w:sz="8" w:space="0"/>
              <w:bottom w:val="single" w:color="000000" w:sz="8" w:space="0"/>
              <w:right w:val="single" w:color="000000" w:sz="8" w:space="0"/>
            </w:tcBorders>
            <w:noWrap w:val="0"/>
            <w:vAlign w:val="center"/>
          </w:tcPr>
          <w:p w14:paraId="550E22F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预处理设施</w:t>
            </w:r>
          </w:p>
        </w:tc>
        <w:tc>
          <w:tcPr>
            <w:tcW w:w="1527" w:type="pct"/>
            <w:vMerge w:val="restart"/>
            <w:tcBorders>
              <w:top w:val="single" w:color="000000" w:sz="8" w:space="0"/>
              <w:left w:val="single" w:color="000000" w:sz="8" w:space="0"/>
              <w:bottom w:val="single" w:color="000000" w:sz="8" w:space="0"/>
              <w:right w:val="single" w:color="000000" w:sz="8" w:space="0"/>
            </w:tcBorders>
            <w:noWrap w:val="0"/>
            <w:vAlign w:val="center"/>
          </w:tcPr>
          <w:p w14:paraId="08689550">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定期清理预处理设施，格栅工作正常，栅渣适量，过水通畅。预处理设施盖板完好，无破损缺失，池体无渗漏开裂，无淤积堵塞、水位正常。</w:t>
            </w:r>
          </w:p>
        </w:tc>
        <w:tc>
          <w:tcPr>
            <w:tcW w:w="1654" w:type="pct"/>
            <w:tcBorders>
              <w:top w:val="single" w:color="000000" w:sz="8" w:space="0"/>
              <w:left w:val="single" w:color="000000" w:sz="8" w:space="0"/>
              <w:bottom w:val="single" w:color="000000" w:sz="8" w:space="0"/>
              <w:right w:val="single" w:color="000000" w:sz="8" w:space="0"/>
            </w:tcBorders>
            <w:noWrap w:val="0"/>
            <w:vAlign w:val="center"/>
          </w:tcPr>
          <w:p w14:paraId="754908B2">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格栅故障扣1分，栅渣过多影响过水扣1分。</w:t>
            </w:r>
          </w:p>
        </w:tc>
        <w:tc>
          <w:tcPr>
            <w:tcW w:w="264" w:type="pct"/>
            <w:tcBorders>
              <w:top w:val="single" w:color="000000" w:sz="8" w:space="0"/>
              <w:left w:val="single" w:color="000000" w:sz="8" w:space="0"/>
              <w:bottom w:val="single" w:color="000000" w:sz="8" w:space="0"/>
              <w:right w:val="single" w:color="000000" w:sz="8" w:space="0"/>
            </w:tcBorders>
            <w:noWrap w:val="0"/>
            <w:vAlign w:val="center"/>
          </w:tcPr>
          <w:p w14:paraId="475224D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596" w:type="pct"/>
            <w:tcBorders>
              <w:top w:val="single" w:color="000000" w:sz="8" w:space="0"/>
              <w:left w:val="single" w:color="000000" w:sz="8" w:space="0"/>
              <w:bottom w:val="single" w:color="000000" w:sz="8" w:space="0"/>
              <w:right w:val="single" w:color="000000" w:sz="8" w:space="0"/>
            </w:tcBorders>
            <w:noWrap w:val="0"/>
            <w:vAlign w:val="center"/>
          </w:tcPr>
          <w:p w14:paraId="632D020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在资源化利用模式中分值为5分</w:t>
            </w:r>
          </w:p>
        </w:tc>
      </w:tr>
      <w:tr w14:paraId="6CEEE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00" w:type="pct"/>
            <w:vMerge w:val="continue"/>
            <w:tcBorders>
              <w:left w:val="single" w:color="000000" w:sz="8" w:space="0"/>
              <w:right w:val="single" w:color="000000" w:sz="8" w:space="0"/>
            </w:tcBorders>
            <w:noWrap w:val="0"/>
            <w:vAlign w:val="center"/>
          </w:tcPr>
          <w:p w14:paraId="6DA5D06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457" w:type="pct"/>
            <w:vMerge w:val="continue"/>
            <w:tcBorders>
              <w:top w:val="single" w:color="000000" w:sz="8" w:space="0"/>
              <w:left w:val="single" w:color="000000" w:sz="8" w:space="0"/>
              <w:bottom w:val="single" w:color="000000" w:sz="8" w:space="0"/>
              <w:right w:val="single" w:color="000000" w:sz="8" w:space="0"/>
            </w:tcBorders>
            <w:noWrap w:val="0"/>
            <w:vAlign w:val="center"/>
          </w:tcPr>
          <w:p w14:paraId="0F9AABF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527" w:type="pct"/>
            <w:vMerge w:val="continue"/>
            <w:tcBorders>
              <w:top w:val="single" w:color="000000" w:sz="8" w:space="0"/>
              <w:left w:val="single" w:color="000000" w:sz="8" w:space="0"/>
              <w:bottom w:val="single" w:color="000000" w:sz="8" w:space="0"/>
              <w:right w:val="single" w:color="000000" w:sz="8" w:space="0"/>
            </w:tcBorders>
            <w:noWrap w:val="0"/>
            <w:vAlign w:val="center"/>
          </w:tcPr>
          <w:p w14:paraId="00DB419D">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仿宋_GB2312" w:hAnsi="仿宋_GB2312" w:eastAsia="仿宋_GB2312" w:cs="仿宋_GB2312"/>
                <w:sz w:val="28"/>
                <w:szCs w:val="28"/>
                <w:lang w:val="en-US" w:eastAsia="zh-CN"/>
              </w:rPr>
            </w:pPr>
          </w:p>
        </w:tc>
        <w:tc>
          <w:tcPr>
            <w:tcW w:w="1654" w:type="pct"/>
            <w:tcBorders>
              <w:top w:val="single" w:color="000000" w:sz="8" w:space="0"/>
              <w:left w:val="single" w:color="000000" w:sz="8" w:space="0"/>
              <w:bottom w:val="single" w:color="000000" w:sz="8" w:space="0"/>
              <w:right w:val="single" w:color="000000" w:sz="8" w:space="0"/>
            </w:tcBorders>
            <w:noWrap w:val="0"/>
            <w:vAlign w:val="center"/>
          </w:tcPr>
          <w:p w14:paraId="41D9FEA6">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盖板破损、缺失扣2分，池体淤积堵塞扣3分。如出现渗漏开裂未及时修复等影响功能情况则一票否决该村污水治理。</w:t>
            </w:r>
          </w:p>
        </w:tc>
        <w:tc>
          <w:tcPr>
            <w:tcW w:w="264" w:type="pct"/>
            <w:tcBorders>
              <w:top w:val="single" w:color="000000" w:sz="8" w:space="0"/>
              <w:left w:val="single" w:color="000000" w:sz="8" w:space="0"/>
              <w:bottom w:val="single" w:color="000000" w:sz="8" w:space="0"/>
              <w:right w:val="single" w:color="000000" w:sz="8" w:space="0"/>
            </w:tcBorders>
            <w:noWrap w:val="0"/>
            <w:vAlign w:val="center"/>
          </w:tcPr>
          <w:p w14:paraId="2A87CF1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p>
        </w:tc>
        <w:tc>
          <w:tcPr>
            <w:tcW w:w="596" w:type="pct"/>
            <w:tcBorders>
              <w:top w:val="single" w:color="000000" w:sz="8" w:space="0"/>
              <w:left w:val="single" w:color="000000" w:sz="8" w:space="0"/>
              <w:bottom w:val="single" w:color="000000" w:sz="8" w:space="0"/>
              <w:right w:val="single" w:color="000000" w:sz="8" w:space="0"/>
            </w:tcBorders>
            <w:noWrap w:val="0"/>
            <w:vAlign w:val="center"/>
          </w:tcPr>
          <w:p w14:paraId="5F1C609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在资源化利用模式中分值为10分</w:t>
            </w:r>
          </w:p>
        </w:tc>
      </w:tr>
      <w:tr w14:paraId="339C8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500" w:type="pct"/>
            <w:vMerge w:val="continue"/>
            <w:tcBorders>
              <w:left w:val="single" w:color="000000" w:sz="8" w:space="0"/>
              <w:right w:val="single" w:color="000000" w:sz="8" w:space="0"/>
            </w:tcBorders>
            <w:noWrap w:val="0"/>
            <w:vAlign w:val="center"/>
          </w:tcPr>
          <w:p w14:paraId="2185178A">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457" w:type="pct"/>
            <w:vMerge w:val="restart"/>
            <w:tcBorders>
              <w:top w:val="single" w:color="000000" w:sz="8" w:space="0"/>
              <w:left w:val="single" w:color="000000" w:sz="8" w:space="0"/>
              <w:bottom w:val="single" w:color="000000" w:sz="8" w:space="0"/>
              <w:right w:val="single" w:color="000000" w:sz="8" w:space="0"/>
            </w:tcBorders>
            <w:noWrap w:val="0"/>
            <w:vAlign w:val="center"/>
          </w:tcPr>
          <w:p w14:paraId="3C0203B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主体处理设施</w:t>
            </w:r>
          </w:p>
        </w:tc>
        <w:tc>
          <w:tcPr>
            <w:tcW w:w="1527" w:type="pct"/>
            <w:tcBorders>
              <w:top w:val="single" w:color="000000" w:sz="8" w:space="0"/>
              <w:left w:val="single" w:color="000000" w:sz="8" w:space="0"/>
              <w:bottom w:val="single" w:color="000000" w:sz="8" w:space="0"/>
              <w:right w:val="single" w:color="000000" w:sz="8" w:space="0"/>
            </w:tcBorders>
            <w:noWrap w:val="0"/>
            <w:vAlign w:val="center"/>
          </w:tcPr>
          <w:p w14:paraId="43E7CE6E">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主体处理设施工作正常，主体结构无渗漏、开裂、锈蚀穿孔。</w:t>
            </w:r>
          </w:p>
        </w:tc>
        <w:tc>
          <w:tcPr>
            <w:tcW w:w="1654" w:type="pct"/>
            <w:tcBorders>
              <w:top w:val="single" w:color="000000" w:sz="8" w:space="0"/>
              <w:left w:val="single" w:color="000000" w:sz="8" w:space="0"/>
              <w:bottom w:val="single" w:color="000000" w:sz="8" w:space="0"/>
              <w:right w:val="single" w:color="000000" w:sz="8" w:space="0"/>
            </w:tcBorders>
            <w:noWrap w:val="0"/>
            <w:vAlign w:val="center"/>
          </w:tcPr>
          <w:p w14:paraId="0DAEE867">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主体结构渗漏、开裂、锈蚀穿孔，每发现一处扣2分。如导致严重功能性问题，为一票否决，该村不通过。</w:t>
            </w:r>
          </w:p>
        </w:tc>
        <w:tc>
          <w:tcPr>
            <w:tcW w:w="264" w:type="pct"/>
            <w:tcBorders>
              <w:top w:val="single" w:color="000000" w:sz="8" w:space="0"/>
              <w:left w:val="single" w:color="000000" w:sz="8" w:space="0"/>
              <w:bottom w:val="single" w:color="000000" w:sz="8" w:space="0"/>
              <w:right w:val="single" w:color="000000" w:sz="8" w:space="0"/>
            </w:tcBorders>
            <w:noWrap w:val="0"/>
            <w:vAlign w:val="center"/>
          </w:tcPr>
          <w:p w14:paraId="05644848">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p>
        </w:tc>
        <w:tc>
          <w:tcPr>
            <w:tcW w:w="596" w:type="pct"/>
            <w:vMerge w:val="restart"/>
            <w:tcBorders>
              <w:top w:val="single" w:color="000000" w:sz="8" w:space="0"/>
              <w:left w:val="single" w:color="000000" w:sz="8" w:space="0"/>
              <w:right w:val="single" w:color="000000" w:sz="8" w:space="0"/>
            </w:tcBorders>
            <w:noWrap w:val="0"/>
            <w:vAlign w:val="center"/>
          </w:tcPr>
          <w:p w14:paraId="0327E03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仅针对建设设施模式，纳厂及资源化利用不涉及该项目</w:t>
            </w:r>
          </w:p>
        </w:tc>
      </w:tr>
      <w:tr w14:paraId="431F9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500" w:type="pct"/>
            <w:vMerge w:val="continue"/>
            <w:tcBorders>
              <w:left w:val="single" w:color="000000" w:sz="8" w:space="0"/>
              <w:right w:val="single" w:color="000000" w:sz="8" w:space="0"/>
            </w:tcBorders>
            <w:noWrap w:val="0"/>
            <w:vAlign w:val="center"/>
          </w:tcPr>
          <w:p w14:paraId="683D9CB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457" w:type="pct"/>
            <w:vMerge w:val="continue"/>
            <w:tcBorders>
              <w:top w:val="single" w:color="000000" w:sz="8" w:space="0"/>
              <w:left w:val="single" w:color="000000" w:sz="8" w:space="0"/>
              <w:bottom w:val="single" w:color="000000" w:sz="8" w:space="0"/>
              <w:right w:val="single" w:color="000000" w:sz="8" w:space="0"/>
            </w:tcBorders>
            <w:noWrap w:val="0"/>
            <w:vAlign w:val="center"/>
          </w:tcPr>
          <w:p w14:paraId="3D3292E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527" w:type="pct"/>
            <w:tcBorders>
              <w:top w:val="single" w:color="000000" w:sz="8" w:space="0"/>
              <w:left w:val="single" w:color="000000" w:sz="8" w:space="0"/>
              <w:bottom w:val="single" w:color="000000" w:sz="8" w:space="0"/>
              <w:right w:val="single" w:color="000000" w:sz="8" w:space="0"/>
            </w:tcBorders>
            <w:noWrap w:val="0"/>
            <w:vAlign w:val="center"/>
          </w:tcPr>
          <w:p w14:paraId="38F68CBC">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工艺设备及仪表运行正常，生化系统填料良好，挂膜良好，或人工湿地植被生长良好、收割及时，无大面积倒伏或枯萎。</w:t>
            </w:r>
          </w:p>
        </w:tc>
        <w:tc>
          <w:tcPr>
            <w:tcW w:w="1654" w:type="pct"/>
            <w:tcBorders>
              <w:top w:val="single" w:color="000000" w:sz="8" w:space="0"/>
              <w:left w:val="single" w:color="000000" w:sz="8" w:space="0"/>
              <w:bottom w:val="single" w:color="000000" w:sz="8" w:space="0"/>
              <w:right w:val="single" w:color="000000" w:sz="8" w:space="0"/>
            </w:tcBorders>
            <w:noWrap w:val="0"/>
            <w:vAlign w:val="center"/>
          </w:tcPr>
          <w:p w14:paraId="61CFC381">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工艺设备及仪表故障未及时修复扣3分，填料破损或人工湿地植被未及时收割、大面积倒伏或枯萎扣5分。如导致严重功能性问题，为一票否决，该村不通过。</w:t>
            </w:r>
          </w:p>
        </w:tc>
        <w:tc>
          <w:tcPr>
            <w:tcW w:w="264" w:type="pct"/>
            <w:tcBorders>
              <w:top w:val="single" w:color="000000" w:sz="8" w:space="0"/>
              <w:left w:val="single" w:color="000000" w:sz="8" w:space="0"/>
              <w:bottom w:val="single" w:color="000000" w:sz="8" w:space="0"/>
              <w:right w:val="single" w:color="000000" w:sz="8" w:space="0"/>
            </w:tcBorders>
            <w:noWrap w:val="0"/>
            <w:vAlign w:val="center"/>
          </w:tcPr>
          <w:p w14:paraId="00B5236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c>
          <w:tcPr>
            <w:tcW w:w="596" w:type="pct"/>
            <w:vMerge w:val="continue"/>
            <w:tcBorders>
              <w:left w:val="single" w:color="000000" w:sz="8" w:space="0"/>
              <w:right w:val="single" w:color="000000" w:sz="8" w:space="0"/>
            </w:tcBorders>
            <w:noWrap w:val="0"/>
            <w:vAlign w:val="center"/>
          </w:tcPr>
          <w:p w14:paraId="0346DED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049DC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500" w:type="pct"/>
            <w:vMerge w:val="continue"/>
            <w:tcBorders>
              <w:left w:val="single" w:color="000000" w:sz="8" w:space="0"/>
              <w:right w:val="single" w:color="000000" w:sz="8" w:space="0"/>
            </w:tcBorders>
            <w:noWrap w:val="0"/>
            <w:vAlign w:val="center"/>
          </w:tcPr>
          <w:p w14:paraId="2F9E88C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457" w:type="pct"/>
            <w:vMerge w:val="restart"/>
            <w:tcBorders>
              <w:top w:val="single" w:color="000000" w:sz="8" w:space="0"/>
              <w:left w:val="single" w:color="000000" w:sz="8" w:space="0"/>
              <w:right w:val="single" w:color="000000" w:sz="8" w:space="0"/>
            </w:tcBorders>
            <w:noWrap w:val="0"/>
            <w:vAlign w:val="center"/>
          </w:tcPr>
          <w:p w14:paraId="4FBC648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信息公开</w:t>
            </w:r>
          </w:p>
        </w:tc>
        <w:tc>
          <w:tcPr>
            <w:tcW w:w="1527" w:type="pct"/>
            <w:tcBorders>
              <w:top w:val="single" w:color="000000" w:sz="8" w:space="0"/>
              <w:left w:val="single" w:color="000000" w:sz="8" w:space="0"/>
              <w:bottom w:val="single" w:color="000000" w:sz="8" w:space="0"/>
              <w:right w:val="single" w:color="000000" w:sz="8" w:space="0"/>
            </w:tcBorders>
            <w:noWrap w:val="0"/>
            <w:vAlign w:val="center"/>
          </w:tcPr>
          <w:p w14:paraId="694A23B9">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设置站点情况公示牌，公开服务户数、常住人口数、建设投资、处理工艺、管网敷设长度、处理规模、出水标准等内容。</w:t>
            </w:r>
          </w:p>
        </w:tc>
        <w:tc>
          <w:tcPr>
            <w:tcW w:w="1654" w:type="pct"/>
            <w:tcBorders>
              <w:top w:val="single" w:color="000000" w:sz="8" w:space="0"/>
              <w:left w:val="single" w:color="000000" w:sz="8" w:space="0"/>
              <w:bottom w:val="single" w:color="000000" w:sz="8" w:space="0"/>
              <w:right w:val="single" w:color="000000" w:sz="8" w:space="0"/>
            </w:tcBorders>
            <w:noWrap w:val="0"/>
            <w:vAlign w:val="center"/>
          </w:tcPr>
          <w:p w14:paraId="70DB466F">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未设置站点信息公示牌扣2分，每缺少一项内容扣0.5分。</w:t>
            </w:r>
          </w:p>
        </w:tc>
        <w:tc>
          <w:tcPr>
            <w:tcW w:w="264" w:type="pct"/>
            <w:tcBorders>
              <w:top w:val="single" w:color="000000" w:sz="8" w:space="0"/>
              <w:left w:val="single" w:color="000000" w:sz="8" w:space="0"/>
              <w:bottom w:val="single" w:color="000000" w:sz="8" w:space="0"/>
              <w:right w:val="single" w:color="000000" w:sz="8" w:space="0"/>
            </w:tcBorders>
            <w:noWrap w:val="0"/>
            <w:vAlign w:val="center"/>
          </w:tcPr>
          <w:p w14:paraId="6E42268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596" w:type="pct"/>
            <w:vMerge w:val="restart"/>
            <w:tcBorders>
              <w:top w:val="single" w:color="000000" w:sz="8" w:space="0"/>
              <w:left w:val="single" w:color="000000" w:sz="8" w:space="0"/>
              <w:right w:val="single" w:color="000000" w:sz="8" w:space="0"/>
            </w:tcBorders>
            <w:noWrap w:val="0"/>
            <w:vAlign w:val="center"/>
          </w:tcPr>
          <w:p w14:paraId="054FD15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仅针对建设设施模式，纳厂及资源化利用不涉及该项目</w:t>
            </w:r>
          </w:p>
        </w:tc>
      </w:tr>
      <w:tr w14:paraId="4EFC3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3" w:hRule="atLeast"/>
          <w:jc w:val="center"/>
        </w:trPr>
        <w:tc>
          <w:tcPr>
            <w:tcW w:w="500" w:type="pct"/>
            <w:vMerge w:val="continue"/>
            <w:tcBorders>
              <w:left w:val="single" w:color="000000" w:sz="8" w:space="0"/>
              <w:right w:val="single" w:color="000000" w:sz="8" w:space="0"/>
            </w:tcBorders>
            <w:noWrap w:val="0"/>
            <w:vAlign w:val="center"/>
          </w:tcPr>
          <w:p w14:paraId="567374A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457" w:type="pct"/>
            <w:vMerge w:val="continue"/>
            <w:tcBorders>
              <w:left w:val="single" w:color="000000" w:sz="8" w:space="0"/>
              <w:right w:val="single" w:color="000000" w:sz="8" w:space="0"/>
            </w:tcBorders>
            <w:noWrap w:val="0"/>
            <w:vAlign w:val="center"/>
          </w:tcPr>
          <w:p w14:paraId="7427C59A">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527" w:type="pct"/>
            <w:tcBorders>
              <w:top w:val="single" w:color="000000" w:sz="8" w:space="0"/>
              <w:left w:val="single" w:color="000000" w:sz="8" w:space="0"/>
              <w:bottom w:val="single" w:color="000000" w:sz="8" w:space="0"/>
              <w:right w:val="single" w:color="000000" w:sz="8" w:space="0"/>
            </w:tcBorders>
            <w:noWrap w:val="0"/>
            <w:vAlign w:val="center"/>
          </w:tcPr>
          <w:p w14:paraId="141C2273">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公开运维单位、运维人员及联系电话，监管单位、监督人员及联系电话等内容。</w:t>
            </w:r>
          </w:p>
        </w:tc>
        <w:tc>
          <w:tcPr>
            <w:tcW w:w="1654" w:type="pct"/>
            <w:tcBorders>
              <w:top w:val="single" w:color="000000" w:sz="8" w:space="0"/>
              <w:left w:val="single" w:color="000000" w:sz="8" w:space="0"/>
              <w:bottom w:val="single" w:color="000000" w:sz="8" w:space="0"/>
              <w:right w:val="single" w:color="000000" w:sz="8" w:space="0"/>
            </w:tcBorders>
            <w:noWrap w:val="0"/>
            <w:vAlign w:val="center"/>
          </w:tcPr>
          <w:p w14:paraId="657D68CD">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未公开运维信息扣1分，每缺少一项内容扣0.5分。</w:t>
            </w:r>
          </w:p>
        </w:tc>
        <w:tc>
          <w:tcPr>
            <w:tcW w:w="264" w:type="pct"/>
            <w:tcBorders>
              <w:top w:val="single" w:color="000000" w:sz="8" w:space="0"/>
              <w:left w:val="single" w:color="000000" w:sz="8" w:space="0"/>
              <w:bottom w:val="single" w:color="000000" w:sz="8" w:space="0"/>
              <w:right w:val="single" w:color="000000" w:sz="8" w:space="0"/>
            </w:tcBorders>
            <w:noWrap w:val="0"/>
            <w:vAlign w:val="center"/>
          </w:tcPr>
          <w:p w14:paraId="2149D3F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596" w:type="pct"/>
            <w:vMerge w:val="continue"/>
            <w:tcBorders>
              <w:left w:val="single" w:color="000000" w:sz="8" w:space="0"/>
              <w:right w:val="single" w:color="000000" w:sz="8" w:space="0"/>
            </w:tcBorders>
            <w:noWrap w:val="0"/>
            <w:vAlign w:val="center"/>
          </w:tcPr>
          <w:p w14:paraId="1EE2B4E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42A0C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7" w:hRule="atLeast"/>
          <w:jc w:val="center"/>
        </w:trPr>
        <w:tc>
          <w:tcPr>
            <w:tcW w:w="500" w:type="pct"/>
            <w:vMerge w:val="continue"/>
            <w:tcBorders>
              <w:left w:val="single" w:color="000000" w:sz="8" w:space="0"/>
              <w:right w:val="single" w:color="000000" w:sz="8" w:space="0"/>
            </w:tcBorders>
            <w:noWrap w:val="0"/>
            <w:vAlign w:val="center"/>
          </w:tcPr>
          <w:p w14:paraId="1594088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457" w:type="pct"/>
            <w:vMerge w:val="continue"/>
            <w:tcBorders>
              <w:left w:val="single" w:color="000000" w:sz="8" w:space="0"/>
              <w:bottom w:val="single" w:color="000000" w:sz="8" w:space="0"/>
              <w:right w:val="single" w:color="000000" w:sz="8" w:space="0"/>
            </w:tcBorders>
            <w:noWrap w:val="0"/>
            <w:vAlign w:val="center"/>
          </w:tcPr>
          <w:p w14:paraId="2022C6E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527" w:type="pct"/>
            <w:tcBorders>
              <w:top w:val="single" w:color="000000" w:sz="8" w:space="0"/>
              <w:left w:val="single" w:color="000000" w:sz="8" w:space="0"/>
              <w:bottom w:val="single" w:color="000000" w:sz="8" w:space="0"/>
              <w:right w:val="single" w:color="000000" w:sz="8" w:space="0"/>
            </w:tcBorders>
            <w:noWrap w:val="0"/>
            <w:vAlign w:val="center"/>
          </w:tcPr>
          <w:p w14:paraId="4B498A4D">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出水口标识清晰，标识牌无倒伏或破损。</w:t>
            </w:r>
          </w:p>
        </w:tc>
        <w:tc>
          <w:tcPr>
            <w:tcW w:w="1654" w:type="pct"/>
            <w:tcBorders>
              <w:top w:val="single" w:color="000000" w:sz="8" w:space="0"/>
              <w:left w:val="single" w:color="000000" w:sz="8" w:space="0"/>
              <w:bottom w:val="single" w:color="000000" w:sz="8" w:space="0"/>
              <w:right w:val="single" w:color="000000" w:sz="8" w:space="0"/>
            </w:tcBorders>
            <w:noWrap w:val="0"/>
            <w:vAlign w:val="center"/>
          </w:tcPr>
          <w:p w14:paraId="5F345474">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未设置出水口标识牌扣2分，标识牌倒伏或破损扣1分。</w:t>
            </w:r>
          </w:p>
        </w:tc>
        <w:tc>
          <w:tcPr>
            <w:tcW w:w="264" w:type="pct"/>
            <w:tcBorders>
              <w:top w:val="single" w:color="000000" w:sz="8" w:space="0"/>
              <w:left w:val="single" w:color="000000" w:sz="8" w:space="0"/>
              <w:bottom w:val="single" w:color="000000" w:sz="8" w:space="0"/>
              <w:right w:val="single" w:color="000000" w:sz="8" w:space="0"/>
            </w:tcBorders>
            <w:noWrap w:val="0"/>
            <w:vAlign w:val="center"/>
          </w:tcPr>
          <w:p w14:paraId="1DF9933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2</w:t>
            </w:r>
          </w:p>
        </w:tc>
        <w:tc>
          <w:tcPr>
            <w:tcW w:w="596" w:type="pct"/>
            <w:vMerge w:val="continue"/>
            <w:tcBorders>
              <w:left w:val="single" w:color="000000" w:sz="8" w:space="0"/>
              <w:bottom w:val="single" w:color="000000" w:sz="8" w:space="0"/>
              <w:right w:val="single" w:color="000000" w:sz="8" w:space="0"/>
            </w:tcBorders>
            <w:noWrap w:val="0"/>
            <w:vAlign w:val="center"/>
          </w:tcPr>
          <w:p w14:paraId="78ED5BE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415E2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500" w:type="pct"/>
            <w:vMerge w:val="continue"/>
            <w:tcBorders>
              <w:left w:val="single" w:color="000000" w:sz="8" w:space="0"/>
              <w:bottom w:val="single" w:color="000000" w:sz="8" w:space="0"/>
              <w:right w:val="single" w:color="000000" w:sz="8" w:space="0"/>
            </w:tcBorders>
            <w:noWrap w:val="0"/>
            <w:vAlign w:val="center"/>
          </w:tcPr>
          <w:p w14:paraId="145ACBE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457" w:type="pct"/>
            <w:tcBorders>
              <w:left w:val="single" w:color="000000" w:sz="8" w:space="0"/>
              <w:bottom w:val="single" w:color="000000" w:sz="8" w:space="0"/>
              <w:right w:val="single" w:color="000000" w:sz="8" w:space="0"/>
            </w:tcBorders>
            <w:noWrap w:val="0"/>
            <w:vAlign w:val="center"/>
          </w:tcPr>
          <w:p w14:paraId="1972957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受纳体情况</w:t>
            </w:r>
          </w:p>
        </w:tc>
        <w:tc>
          <w:tcPr>
            <w:tcW w:w="1527" w:type="pct"/>
            <w:tcBorders>
              <w:top w:val="single" w:color="000000" w:sz="8" w:space="0"/>
              <w:left w:val="single" w:color="000000" w:sz="8" w:space="0"/>
              <w:bottom w:val="single" w:color="000000" w:sz="8" w:space="0"/>
              <w:right w:val="single" w:color="000000" w:sz="8" w:space="0"/>
            </w:tcBorders>
            <w:noWrap w:val="0"/>
            <w:vAlign w:val="center"/>
          </w:tcPr>
          <w:p w14:paraId="2AD8F6DF">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受纳体环境质量良好，未出现污水积存、横流、黑臭等现象，预处理设施出水未直排流动水体。</w:t>
            </w:r>
          </w:p>
        </w:tc>
        <w:tc>
          <w:tcPr>
            <w:tcW w:w="1654" w:type="pct"/>
            <w:tcBorders>
              <w:top w:val="single" w:color="000000" w:sz="8" w:space="0"/>
              <w:left w:val="single" w:color="000000" w:sz="8" w:space="0"/>
              <w:bottom w:val="single" w:color="000000" w:sz="8" w:space="0"/>
              <w:right w:val="single" w:color="000000" w:sz="8" w:space="0"/>
            </w:tcBorders>
            <w:noWrap w:val="0"/>
            <w:vAlign w:val="center"/>
          </w:tcPr>
          <w:p w14:paraId="7D79D1A3">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如出现受纳体污水积存、横流、黑臭，或出水直排流动水体的，一票否决，该村不通过。</w:t>
            </w:r>
          </w:p>
        </w:tc>
        <w:tc>
          <w:tcPr>
            <w:tcW w:w="264" w:type="pct"/>
            <w:tcBorders>
              <w:top w:val="single" w:color="000000" w:sz="8" w:space="0"/>
              <w:left w:val="single" w:color="000000" w:sz="8" w:space="0"/>
              <w:bottom w:val="single" w:color="000000" w:sz="8" w:space="0"/>
              <w:right w:val="single" w:color="000000" w:sz="8" w:space="0"/>
            </w:tcBorders>
            <w:noWrap w:val="0"/>
            <w:vAlign w:val="center"/>
          </w:tcPr>
          <w:p w14:paraId="7691D9E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p>
        </w:tc>
        <w:tc>
          <w:tcPr>
            <w:tcW w:w="596" w:type="pct"/>
            <w:tcBorders>
              <w:left w:val="single" w:color="000000" w:sz="8" w:space="0"/>
              <w:bottom w:val="single" w:color="000000" w:sz="8" w:space="0"/>
              <w:right w:val="single" w:color="000000" w:sz="8" w:space="0"/>
            </w:tcBorders>
            <w:noWrap w:val="0"/>
            <w:vAlign w:val="center"/>
          </w:tcPr>
          <w:p w14:paraId="4609A75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仅资源化利用模式使用，分值为20分</w:t>
            </w:r>
          </w:p>
        </w:tc>
      </w:tr>
      <w:tr w14:paraId="2DC28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500" w:type="pct"/>
            <w:vMerge w:val="restart"/>
            <w:tcBorders>
              <w:top w:val="single" w:color="000000" w:sz="8" w:space="0"/>
              <w:left w:val="single" w:color="000000" w:sz="8" w:space="0"/>
              <w:bottom w:val="single" w:color="000000" w:sz="8" w:space="0"/>
              <w:right w:val="single" w:color="000000" w:sz="8" w:space="0"/>
            </w:tcBorders>
            <w:noWrap w:val="0"/>
            <w:vAlign w:val="center"/>
          </w:tcPr>
          <w:p w14:paraId="5A9BA7D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资料管理（40分）</w:t>
            </w:r>
          </w:p>
        </w:tc>
        <w:tc>
          <w:tcPr>
            <w:tcW w:w="457" w:type="pct"/>
            <w:tcBorders>
              <w:top w:val="single" w:color="000000" w:sz="8" w:space="0"/>
              <w:left w:val="single" w:color="000000" w:sz="8" w:space="0"/>
              <w:bottom w:val="single" w:color="000000" w:sz="8" w:space="0"/>
              <w:right w:val="single" w:color="000000" w:sz="8" w:space="0"/>
            </w:tcBorders>
            <w:noWrap w:val="0"/>
            <w:vAlign w:val="center"/>
          </w:tcPr>
          <w:p w14:paraId="526C278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日常运营管理体系</w:t>
            </w:r>
          </w:p>
        </w:tc>
        <w:tc>
          <w:tcPr>
            <w:tcW w:w="1527" w:type="pct"/>
            <w:tcBorders>
              <w:top w:val="single" w:color="000000" w:sz="8" w:space="0"/>
              <w:left w:val="single" w:color="000000" w:sz="8" w:space="0"/>
              <w:bottom w:val="single" w:color="000000" w:sz="8" w:space="0"/>
              <w:right w:val="single" w:color="000000" w:sz="8" w:space="0"/>
            </w:tcBorders>
            <w:noWrap w:val="0"/>
            <w:vAlign w:val="center"/>
          </w:tcPr>
          <w:p w14:paraId="29EC8F58">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建立日常运营管理制度体系，包括安全管理制度、物资管理制度、人员管理制度、设备设施管理制度、应急管理制度、水质监测化验制度、巡检制度。</w:t>
            </w:r>
          </w:p>
        </w:tc>
        <w:tc>
          <w:tcPr>
            <w:tcW w:w="1654" w:type="pct"/>
            <w:tcBorders>
              <w:top w:val="single" w:color="000000" w:sz="8" w:space="0"/>
              <w:left w:val="single" w:color="000000" w:sz="8" w:space="0"/>
              <w:bottom w:val="single" w:color="000000" w:sz="8" w:space="0"/>
              <w:right w:val="single" w:color="000000" w:sz="8" w:space="0"/>
            </w:tcBorders>
            <w:noWrap w:val="0"/>
            <w:vAlign w:val="center"/>
          </w:tcPr>
          <w:p w14:paraId="58064D1F">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制度不规范、不完善扣5分，未建立相匹配的制度扣10分。</w:t>
            </w:r>
          </w:p>
        </w:tc>
        <w:tc>
          <w:tcPr>
            <w:tcW w:w="264" w:type="pct"/>
            <w:tcBorders>
              <w:top w:val="single" w:color="000000" w:sz="8" w:space="0"/>
              <w:left w:val="single" w:color="000000" w:sz="8" w:space="0"/>
              <w:bottom w:val="single" w:color="000000" w:sz="8" w:space="0"/>
              <w:right w:val="single" w:color="000000" w:sz="8" w:space="0"/>
            </w:tcBorders>
            <w:noWrap w:val="0"/>
            <w:vAlign w:val="center"/>
          </w:tcPr>
          <w:p w14:paraId="31A0DA4A">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w:t>
            </w:r>
          </w:p>
        </w:tc>
        <w:tc>
          <w:tcPr>
            <w:tcW w:w="596" w:type="pct"/>
            <w:tcBorders>
              <w:top w:val="single" w:color="000000" w:sz="8" w:space="0"/>
              <w:left w:val="single" w:color="000000" w:sz="8" w:space="0"/>
              <w:bottom w:val="single" w:color="000000" w:sz="8" w:space="0"/>
              <w:right w:val="single" w:color="000000" w:sz="8" w:space="0"/>
            </w:tcBorders>
            <w:noWrap w:val="0"/>
            <w:vAlign w:val="center"/>
          </w:tcPr>
          <w:p w14:paraId="117F9D2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65B9B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500" w:type="pct"/>
            <w:vMerge w:val="continue"/>
            <w:tcBorders>
              <w:top w:val="single" w:color="000000" w:sz="8" w:space="0"/>
              <w:left w:val="single" w:color="000000" w:sz="8" w:space="0"/>
              <w:bottom w:val="single" w:color="000000" w:sz="8" w:space="0"/>
              <w:right w:val="single" w:color="000000" w:sz="8" w:space="0"/>
            </w:tcBorders>
            <w:noWrap w:val="0"/>
            <w:vAlign w:val="center"/>
          </w:tcPr>
          <w:p w14:paraId="70BE3A1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457" w:type="pct"/>
            <w:tcBorders>
              <w:top w:val="single" w:color="000000" w:sz="8" w:space="0"/>
              <w:left w:val="single" w:color="000000" w:sz="8" w:space="0"/>
              <w:bottom w:val="single" w:color="000000" w:sz="8" w:space="0"/>
              <w:right w:val="single" w:color="000000" w:sz="8" w:space="0"/>
            </w:tcBorders>
            <w:noWrap w:val="0"/>
            <w:vAlign w:val="center"/>
          </w:tcPr>
          <w:p w14:paraId="7AE154E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运营记录</w:t>
            </w:r>
          </w:p>
        </w:tc>
        <w:tc>
          <w:tcPr>
            <w:tcW w:w="1527" w:type="pct"/>
            <w:tcBorders>
              <w:top w:val="single" w:color="000000" w:sz="8" w:space="0"/>
              <w:left w:val="single" w:color="000000" w:sz="8" w:space="0"/>
              <w:bottom w:val="single" w:color="000000" w:sz="8" w:space="0"/>
              <w:right w:val="single" w:color="000000" w:sz="8" w:space="0"/>
            </w:tcBorders>
            <w:noWrap w:val="0"/>
            <w:vAlign w:val="center"/>
          </w:tcPr>
          <w:p w14:paraId="2EC85D67">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如实记录设施点运营情况，包括定期巡检台账、水质监测化验台账、污泥处理处置台账、运行管理情况报告。并提供相应水印照片佐证。</w:t>
            </w:r>
          </w:p>
        </w:tc>
        <w:tc>
          <w:tcPr>
            <w:tcW w:w="1654" w:type="pct"/>
            <w:tcBorders>
              <w:top w:val="single" w:color="000000" w:sz="8" w:space="0"/>
              <w:left w:val="single" w:color="000000" w:sz="8" w:space="0"/>
              <w:bottom w:val="single" w:color="000000" w:sz="8" w:space="0"/>
              <w:right w:val="single" w:color="000000" w:sz="8" w:space="0"/>
            </w:tcBorders>
            <w:noWrap w:val="0"/>
            <w:vAlign w:val="center"/>
          </w:tcPr>
          <w:p w14:paraId="39CEBA63">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台账不完善、不规范扣5分，照片不完善、不规范扣5分，未按照求提供则一票否决，资料管理不得分。</w:t>
            </w:r>
          </w:p>
        </w:tc>
        <w:tc>
          <w:tcPr>
            <w:tcW w:w="264" w:type="pct"/>
            <w:tcBorders>
              <w:top w:val="single" w:color="000000" w:sz="8" w:space="0"/>
              <w:left w:val="single" w:color="000000" w:sz="8" w:space="0"/>
              <w:bottom w:val="single" w:color="000000" w:sz="8" w:space="0"/>
              <w:right w:val="single" w:color="000000" w:sz="8" w:space="0"/>
            </w:tcBorders>
            <w:noWrap w:val="0"/>
            <w:vAlign w:val="center"/>
          </w:tcPr>
          <w:p w14:paraId="38D50BD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w:t>
            </w:r>
          </w:p>
        </w:tc>
        <w:tc>
          <w:tcPr>
            <w:tcW w:w="596" w:type="pct"/>
            <w:tcBorders>
              <w:top w:val="single" w:color="000000" w:sz="8" w:space="0"/>
              <w:left w:val="single" w:color="000000" w:sz="8" w:space="0"/>
              <w:bottom w:val="single" w:color="000000" w:sz="8" w:space="0"/>
              <w:right w:val="single" w:color="000000" w:sz="8" w:space="0"/>
            </w:tcBorders>
            <w:noWrap w:val="0"/>
            <w:vAlign w:val="center"/>
          </w:tcPr>
          <w:p w14:paraId="21A4C51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3EF00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500" w:type="pct"/>
            <w:vMerge w:val="continue"/>
            <w:tcBorders>
              <w:top w:val="single" w:color="000000" w:sz="8" w:space="0"/>
              <w:left w:val="single" w:color="000000" w:sz="8" w:space="0"/>
              <w:bottom w:val="single" w:color="000000" w:sz="8" w:space="0"/>
              <w:right w:val="single" w:color="000000" w:sz="8" w:space="0"/>
            </w:tcBorders>
            <w:noWrap w:val="0"/>
            <w:vAlign w:val="center"/>
          </w:tcPr>
          <w:p w14:paraId="327C4F9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457" w:type="pct"/>
            <w:tcBorders>
              <w:top w:val="single" w:color="000000" w:sz="8" w:space="0"/>
              <w:left w:val="single" w:color="000000" w:sz="8" w:space="0"/>
              <w:bottom w:val="single" w:color="000000" w:sz="8" w:space="0"/>
              <w:right w:val="single" w:color="000000" w:sz="8" w:space="0"/>
            </w:tcBorders>
            <w:noWrap w:val="0"/>
            <w:vAlign w:val="center"/>
          </w:tcPr>
          <w:p w14:paraId="07AEF7D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维修及保养记录</w:t>
            </w:r>
          </w:p>
        </w:tc>
        <w:tc>
          <w:tcPr>
            <w:tcW w:w="1527" w:type="pct"/>
            <w:tcBorders>
              <w:top w:val="single" w:color="000000" w:sz="8" w:space="0"/>
              <w:left w:val="single" w:color="000000" w:sz="8" w:space="0"/>
              <w:bottom w:val="single" w:color="000000" w:sz="8" w:space="0"/>
              <w:right w:val="single" w:color="000000" w:sz="8" w:space="0"/>
            </w:tcBorders>
            <w:noWrap w:val="0"/>
            <w:vAlign w:val="center"/>
          </w:tcPr>
          <w:p w14:paraId="37BF0691">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如实记录维修及保养情况，包括定期维护保养台账、设备（仪表）维修更换记录。并提供相应水印照片佐证。</w:t>
            </w:r>
          </w:p>
        </w:tc>
        <w:tc>
          <w:tcPr>
            <w:tcW w:w="1654" w:type="pct"/>
            <w:tcBorders>
              <w:top w:val="single" w:color="000000" w:sz="8" w:space="0"/>
              <w:left w:val="single" w:color="000000" w:sz="8" w:space="0"/>
              <w:bottom w:val="single" w:color="000000" w:sz="8" w:space="0"/>
              <w:right w:val="single" w:color="000000" w:sz="8" w:space="0"/>
            </w:tcBorders>
            <w:noWrap w:val="0"/>
            <w:vAlign w:val="center"/>
          </w:tcPr>
          <w:p w14:paraId="0E423551">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台账不完善、不规范扣5分，照片不完善、不规范扣5分，未按照求提供则一票否决，资料管理不得分。</w:t>
            </w:r>
          </w:p>
        </w:tc>
        <w:tc>
          <w:tcPr>
            <w:tcW w:w="264" w:type="pct"/>
            <w:tcBorders>
              <w:top w:val="single" w:color="000000" w:sz="8" w:space="0"/>
              <w:left w:val="single" w:color="000000" w:sz="8" w:space="0"/>
              <w:bottom w:val="single" w:color="000000" w:sz="8" w:space="0"/>
              <w:right w:val="single" w:color="000000" w:sz="8" w:space="0"/>
            </w:tcBorders>
            <w:noWrap w:val="0"/>
            <w:vAlign w:val="center"/>
          </w:tcPr>
          <w:p w14:paraId="0FEE496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w:t>
            </w:r>
          </w:p>
        </w:tc>
        <w:tc>
          <w:tcPr>
            <w:tcW w:w="596" w:type="pct"/>
            <w:tcBorders>
              <w:top w:val="single" w:color="000000" w:sz="8" w:space="0"/>
              <w:left w:val="single" w:color="000000" w:sz="8" w:space="0"/>
              <w:bottom w:val="single" w:color="000000" w:sz="8" w:space="0"/>
              <w:right w:val="single" w:color="000000" w:sz="8" w:space="0"/>
            </w:tcBorders>
            <w:noWrap w:val="0"/>
            <w:vAlign w:val="center"/>
          </w:tcPr>
          <w:p w14:paraId="276DFBE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15E9A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500" w:type="pct"/>
            <w:tcBorders>
              <w:top w:val="single" w:color="000000" w:sz="8" w:space="0"/>
              <w:left w:val="single" w:color="000000" w:sz="8" w:space="0"/>
              <w:bottom w:val="single" w:color="000000" w:sz="8" w:space="0"/>
              <w:right w:val="single" w:color="000000" w:sz="8" w:space="0"/>
            </w:tcBorders>
            <w:noWrap w:val="0"/>
            <w:vAlign w:val="center"/>
          </w:tcPr>
          <w:p w14:paraId="58913B2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综合评价</w:t>
            </w:r>
          </w:p>
        </w:tc>
        <w:tc>
          <w:tcPr>
            <w:tcW w:w="457" w:type="pct"/>
            <w:tcBorders>
              <w:top w:val="single" w:color="000000" w:sz="8" w:space="0"/>
              <w:left w:val="single" w:color="000000" w:sz="8" w:space="0"/>
              <w:bottom w:val="single" w:color="000000" w:sz="8" w:space="0"/>
              <w:right w:val="single" w:color="000000" w:sz="8" w:space="0"/>
            </w:tcBorders>
            <w:noWrap w:val="0"/>
            <w:vAlign w:val="center"/>
          </w:tcPr>
          <w:p w14:paraId="294D547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负面通报及投诉</w:t>
            </w:r>
          </w:p>
        </w:tc>
        <w:tc>
          <w:tcPr>
            <w:tcW w:w="1527" w:type="pct"/>
            <w:tcBorders>
              <w:top w:val="single" w:color="000000" w:sz="8" w:space="0"/>
              <w:left w:val="single" w:color="000000" w:sz="8" w:space="0"/>
              <w:bottom w:val="single" w:color="000000" w:sz="8" w:space="0"/>
              <w:right w:val="single" w:color="000000" w:sz="8" w:space="0"/>
            </w:tcBorders>
            <w:noWrap w:val="0"/>
            <w:vAlign w:val="center"/>
          </w:tcPr>
          <w:p w14:paraId="1226C5F7">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无负面通报、无有效投诉、无公众媒体有效负面报道。</w:t>
            </w:r>
          </w:p>
        </w:tc>
        <w:tc>
          <w:tcPr>
            <w:tcW w:w="1654" w:type="pct"/>
            <w:tcBorders>
              <w:top w:val="single" w:color="000000" w:sz="8" w:space="0"/>
              <w:left w:val="single" w:color="000000" w:sz="8" w:space="0"/>
              <w:bottom w:val="single" w:color="000000" w:sz="8" w:space="0"/>
              <w:right w:val="single" w:color="000000" w:sz="8" w:space="0"/>
            </w:tcBorders>
            <w:noWrap w:val="0"/>
            <w:vAlign w:val="center"/>
          </w:tcPr>
          <w:p w14:paraId="18E0E6F0">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被行业主管、审计、巡察等部门反馈运维存在问题且未及时整改的，被有效投诉且未及时整改的，被公众媒体有效负面报道造成不良影响的，被列入中央、省环保督察负面典型案例、因运维不当造成环境恶化发生越级上访等情形严重的可直接判定不通过。</w:t>
            </w:r>
          </w:p>
        </w:tc>
        <w:tc>
          <w:tcPr>
            <w:tcW w:w="264" w:type="pct"/>
            <w:tcBorders>
              <w:top w:val="single" w:color="000000" w:sz="8" w:space="0"/>
              <w:left w:val="single" w:color="000000" w:sz="8" w:space="0"/>
              <w:bottom w:val="single" w:color="000000" w:sz="8" w:space="0"/>
              <w:right w:val="single" w:color="000000" w:sz="8" w:space="0"/>
            </w:tcBorders>
            <w:noWrap w:val="0"/>
            <w:vAlign w:val="center"/>
          </w:tcPr>
          <w:p w14:paraId="4622A06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p>
        </w:tc>
        <w:tc>
          <w:tcPr>
            <w:tcW w:w="596" w:type="pct"/>
            <w:tcBorders>
              <w:top w:val="single" w:color="000000" w:sz="8" w:space="0"/>
              <w:left w:val="single" w:color="000000" w:sz="8" w:space="0"/>
              <w:bottom w:val="single" w:color="000000" w:sz="8" w:space="0"/>
              <w:right w:val="single" w:color="000000" w:sz="8" w:space="0"/>
            </w:tcBorders>
            <w:noWrap w:val="0"/>
            <w:vAlign w:val="center"/>
          </w:tcPr>
          <w:p w14:paraId="5E018E7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一票否决项</w:t>
            </w:r>
          </w:p>
        </w:tc>
      </w:tr>
      <w:tr w14:paraId="6AAAB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500" w:type="pct"/>
            <w:tcBorders>
              <w:top w:val="single" w:color="000000" w:sz="8" w:space="0"/>
              <w:left w:val="single" w:color="000000" w:sz="8" w:space="0"/>
              <w:bottom w:val="single" w:color="000000" w:sz="8" w:space="0"/>
              <w:right w:val="single" w:color="000000" w:sz="8" w:space="0"/>
            </w:tcBorders>
            <w:noWrap w:val="0"/>
            <w:vAlign w:val="center"/>
          </w:tcPr>
          <w:p w14:paraId="724EA1D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总分</w:t>
            </w:r>
          </w:p>
        </w:tc>
        <w:tc>
          <w:tcPr>
            <w:tcW w:w="457" w:type="pct"/>
            <w:tcBorders>
              <w:top w:val="single" w:color="000000" w:sz="8" w:space="0"/>
              <w:left w:val="single" w:color="000000" w:sz="8" w:space="0"/>
              <w:bottom w:val="single" w:color="000000" w:sz="8" w:space="0"/>
              <w:right w:val="single" w:color="000000" w:sz="8" w:space="0"/>
            </w:tcBorders>
            <w:noWrap w:val="0"/>
            <w:vAlign w:val="center"/>
          </w:tcPr>
          <w:p w14:paraId="3FA624B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p>
        </w:tc>
        <w:tc>
          <w:tcPr>
            <w:tcW w:w="1527" w:type="pct"/>
            <w:tcBorders>
              <w:top w:val="single" w:color="000000" w:sz="8" w:space="0"/>
              <w:left w:val="single" w:color="000000" w:sz="8" w:space="0"/>
              <w:bottom w:val="single" w:color="000000" w:sz="8" w:space="0"/>
              <w:right w:val="single" w:color="000000" w:sz="8" w:space="0"/>
            </w:tcBorders>
            <w:noWrap w:val="0"/>
            <w:vAlign w:val="center"/>
          </w:tcPr>
          <w:p w14:paraId="78BC47A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p>
        </w:tc>
        <w:tc>
          <w:tcPr>
            <w:tcW w:w="1654" w:type="pct"/>
            <w:tcBorders>
              <w:top w:val="single" w:color="000000" w:sz="8" w:space="0"/>
              <w:left w:val="single" w:color="000000" w:sz="8" w:space="0"/>
              <w:bottom w:val="single" w:color="000000" w:sz="8" w:space="0"/>
              <w:right w:val="single" w:color="000000" w:sz="8" w:space="0"/>
            </w:tcBorders>
            <w:noWrap w:val="0"/>
            <w:vAlign w:val="center"/>
          </w:tcPr>
          <w:p w14:paraId="2C16F9A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p>
        </w:tc>
        <w:tc>
          <w:tcPr>
            <w:tcW w:w="264" w:type="pct"/>
            <w:tcBorders>
              <w:top w:val="single" w:color="000000" w:sz="8" w:space="0"/>
              <w:left w:val="single" w:color="000000" w:sz="8" w:space="0"/>
              <w:bottom w:val="single" w:color="000000" w:sz="8" w:space="0"/>
              <w:right w:val="single" w:color="000000" w:sz="8" w:space="0"/>
            </w:tcBorders>
            <w:noWrap w:val="0"/>
            <w:vAlign w:val="center"/>
          </w:tcPr>
          <w:p w14:paraId="49D92E2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c>
          <w:tcPr>
            <w:tcW w:w="596" w:type="pct"/>
            <w:tcBorders>
              <w:top w:val="single" w:color="000000" w:sz="8" w:space="0"/>
              <w:left w:val="single" w:color="000000" w:sz="8" w:space="0"/>
              <w:bottom w:val="single" w:color="000000" w:sz="8" w:space="0"/>
              <w:right w:val="single" w:color="000000" w:sz="8" w:space="0"/>
            </w:tcBorders>
            <w:noWrap w:val="0"/>
            <w:vAlign w:val="center"/>
          </w:tcPr>
          <w:p w14:paraId="1DAE5D3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bl>
    <w:p w14:paraId="1C52DE5E">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rPr>
        <w:sectPr>
          <w:footerReference r:id="rId5" w:type="default"/>
          <w:pgSz w:w="16838" w:h="11906" w:orient="landscape"/>
          <w:pgMar w:top="1474" w:right="2098" w:bottom="1474" w:left="2041" w:header="851" w:footer="1247" w:gutter="0"/>
          <w:pgBorders>
            <w:top w:val="none" w:sz="0" w:space="0"/>
            <w:left w:val="none" w:sz="0" w:space="0"/>
            <w:bottom w:val="none" w:sz="0" w:space="0"/>
            <w:right w:val="none" w:sz="0" w:space="0"/>
          </w:pgBorders>
          <w:pgNumType w:fmt="decimal"/>
          <w:cols w:space="720" w:num="1"/>
          <w:docGrid w:type="lines" w:linePitch="312" w:charSpace="0"/>
        </w:sectPr>
      </w:pPr>
    </w:p>
    <w:p w14:paraId="10397BE2">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4D21581F">
      <w:pPr>
        <w:pStyle w:val="17"/>
        <w:keepNext w:val="0"/>
        <w:keepLines w:val="0"/>
        <w:pageBreakBefore w:val="0"/>
        <w:widowControl w:val="0"/>
        <w:kinsoku/>
        <w:wordWrap/>
        <w:overflowPunct w:val="0"/>
        <w:topLinePunct w:val="0"/>
        <w:bidi w:val="0"/>
        <w:adjustRightInd/>
        <w:snapToGrid/>
        <w:spacing w:line="560" w:lineRule="exact"/>
        <w:ind w:left="0" w:leftChars="0" w:right="0" w:rightChars="0" w:firstLine="0" w:firstLineChars="0"/>
        <w:jc w:val="center"/>
        <w:textAlignment w:val="auto"/>
        <w:outlineLvl w:val="9"/>
        <w:rPr>
          <w:rFonts w:hint="eastAsia" w:ascii="方正小标宋简体" w:eastAsia="方正小标宋简体"/>
          <w:bCs/>
          <w:sz w:val="44"/>
          <w:szCs w:val="44"/>
          <w:lang w:val="en-US" w:eastAsia="zh-CN"/>
        </w:rPr>
      </w:pPr>
      <w:r>
        <w:rPr>
          <w:rFonts w:hint="eastAsia" w:ascii="方正小标宋简体" w:eastAsia="方正小标宋简体"/>
          <w:bCs/>
          <w:sz w:val="44"/>
          <w:szCs w:val="44"/>
          <w:lang w:val="en-US" w:eastAsia="zh-CN"/>
        </w:rPr>
        <w:t>始兴县农村生活污水治理设施运行维护评估表</w:t>
      </w:r>
    </w:p>
    <w:p w14:paraId="405CFBC4">
      <w:pPr>
        <w:pStyle w:val="17"/>
        <w:keepNext w:val="0"/>
        <w:keepLines w:val="0"/>
        <w:pageBreakBefore w:val="0"/>
        <w:widowControl w:val="0"/>
        <w:kinsoku/>
        <w:wordWrap/>
        <w:overflowPunct w:val="0"/>
        <w:topLinePunct w:val="0"/>
        <w:bidi w:val="0"/>
        <w:adjustRightInd/>
        <w:snapToGrid/>
        <w:spacing w:line="560" w:lineRule="exact"/>
        <w:ind w:left="0" w:leftChars="0" w:right="0" w:rightChars="0" w:firstLine="0" w:firstLineChars="0"/>
        <w:jc w:val="center"/>
        <w:textAlignment w:val="auto"/>
        <w:outlineLvl w:val="9"/>
        <w:rPr>
          <w:rFonts w:hint="eastAsia" w:ascii="方正小标宋简体" w:eastAsia="方正小标宋简体"/>
          <w:bCs/>
          <w:sz w:val="44"/>
          <w:szCs w:val="44"/>
          <w:lang w:val="en-US" w:eastAsia="zh-CN"/>
        </w:rPr>
      </w:pPr>
      <w:r>
        <w:rPr>
          <w:rFonts w:hint="eastAsia" w:ascii="方正小标宋简体" w:eastAsia="方正小标宋简体"/>
          <w:bCs/>
          <w:sz w:val="44"/>
          <w:szCs w:val="44"/>
          <w:lang w:val="en-US" w:eastAsia="zh-CN"/>
        </w:rPr>
        <w:t>（建设设施模式）</w:t>
      </w:r>
    </w:p>
    <w:p w14:paraId="0E817D94">
      <w:pPr>
        <w:pStyle w:val="4"/>
        <w:keepNext w:val="0"/>
        <w:keepLines w:val="0"/>
        <w:pageBreakBefore w:val="0"/>
        <w:widowControl w:val="0"/>
        <w:numPr>
          <w:ilvl w:val="0"/>
          <w:numId w:val="0"/>
        </w:numPr>
        <w:kinsoku/>
        <w:wordWrap/>
        <w:overflowPunct/>
        <w:topLinePunct w:val="0"/>
        <w:autoSpaceDE/>
        <w:autoSpaceDN/>
        <w:bidi w:val="0"/>
        <w:adjustRightInd/>
        <w:snapToGrid/>
        <w:spacing w:before="157" w:beforeLines="50" w:line="600" w:lineRule="exact"/>
        <w:ind w:left="0" w:leftChars="0" w:firstLine="641" w:firstLineChars="200"/>
        <w:jc w:val="both"/>
        <w:textAlignment w:val="auto"/>
        <w:rPr>
          <w:rFonts w:hint="eastAsia" w:ascii="仿宋_GB2312" w:hAnsi="Calibri" w:eastAsia="仿宋_GB2312" w:cs="Times New Roman"/>
          <w:b/>
          <w:bCs/>
          <w:color w:val="000000"/>
          <w:kern w:val="2"/>
          <w:sz w:val="32"/>
          <w:szCs w:val="32"/>
          <w:lang w:val="en-US" w:eastAsia="zh-CN" w:bidi="ar-SA"/>
        </w:rPr>
      </w:pPr>
      <w:r>
        <w:rPr>
          <w:rFonts w:hint="eastAsia" w:ascii="仿宋_GB2312" w:hAnsi="Calibri" w:eastAsia="仿宋_GB2312" w:cs="Times New Roman"/>
          <w:b/>
          <w:bCs/>
          <w:color w:val="000000"/>
          <w:kern w:val="2"/>
          <w:sz w:val="32"/>
          <w:szCs w:val="32"/>
          <w:u w:val="single"/>
          <w:lang w:val="en-US" w:eastAsia="zh-CN" w:bidi="ar-SA"/>
        </w:rPr>
        <w:t xml:space="preserve">        </w:t>
      </w:r>
      <w:r>
        <w:rPr>
          <w:rFonts w:hint="eastAsia" w:ascii="仿宋_GB2312" w:hAnsi="Calibri" w:eastAsia="仿宋_GB2312" w:cs="Times New Roman"/>
          <w:b/>
          <w:bCs/>
          <w:color w:val="000000"/>
          <w:kern w:val="2"/>
          <w:sz w:val="32"/>
          <w:szCs w:val="32"/>
          <w:lang w:val="en-US" w:eastAsia="zh-CN" w:bidi="ar-SA"/>
        </w:rPr>
        <w:t>镇</w:t>
      </w:r>
      <w:r>
        <w:rPr>
          <w:rFonts w:hint="eastAsia" w:ascii="仿宋_GB2312" w:hAnsi="Calibri" w:eastAsia="仿宋_GB2312" w:cs="Times New Roman"/>
          <w:b/>
          <w:bCs/>
          <w:color w:val="000000"/>
          <w:kern w:val="2"/>
          <w:sz w:val="32"/>
          <w:szCs w:val="32"/>
          <w:u w:val="single"/>
          <w:lang w:val="en-US" w:eastAsia="zh-CN" w:bidi="ar-SA"/>
        </w:rPr>
        <w:t xml:space="preserve">         </w:t>
      </w:r>
      <w:r>
        <w:rPr>
          <w:rFonts w:hint="eastAsia" w:ascii="仿宋_GB2312" w:hAnsi="Calibri" w:eastAsia="仿宋_GB2312" w:cs="Times New Roman"/>
          <w:b/>
          <w:bCs/>
          <w:color w:val="000000"/>
          <w:kern w:val="2"/>
          <w:sz w:val="32"/>
          <w:szCs w:val="32"/>
          <w:lang w:val="en-US" w:eastAsia="zh-CN" w:bidi="ar-SA"/>
        </w:rPr>
        <w:t xml:space="preserve"> 村（居）委</w:t>
      </w:r>
      <w:r>
        <w:rPr>
          <w:rFonts w:hint="eastAsia" w:ascii="仿宋_GB2312" w:hAnsi="Calibri" w:eastAsia="仿宋_GB2312" w:cs="Times New Roman"/>
          <w:b/>
          <w:bCs/>
          <w:color w:val="000000"/>
          <w:kern w:val="2"/>
          <w:sz w:val="32"/>
          <w:szCs w:val="32"/>
          <w:u w:val="single"/>
          <w:lang w:val="en-US" w:eastAsia="zh-CN" w:bidi="ar-SA"/>
        </w:rPr>
        <w:t xml:space="preserve">            </w:t>
      </w:r>
      <w:r>
        <w:rPr>
          <w:rFonts w:hint="eastAsia" w:ascii="仿宋_GB2312" w:hAnsi="Calibri" w:eastAsia="仿宋_GB2312" w:cs="Times New Roman"/>
          <w:b/>
          <w:bCs/>
          <w:color w:val="000000"/>
          <w:kern w:val="2"/>
          <w:sz w:val="32"/>
          <w:szCs w:val="32"/>
          <w:lang w:val="en-US" w:eastAsia="zh-CN" w:bidi="ar-SA"/>
        </w:rPr>
        <w:t>村小组</w:t>
      </w:r>
    </w:p>
    <w:p w14:paraId="10F69F70">
      <w:pPr>
        <w:pStyle w:val="4"/>
        <w:keepNext w:val="0"/>
        <w:keepLines w:val="0"/>
        <w:pageBreakBefore w:val="0"/>
        <w:widowControl w:val="0"/>
        <w:numPr>
          <w:ilvl w:val="0"/>
          <w:numId w:val="0"/>
        </w:numPr>
        <w:kinsoku/>
        <w:wordWrap/>
        <w:overflowPunct/>
        <w:topLinePunct w:val="0"/>
        <w:autoSpaceDE/>
        <w:autoSpaceDN/>
        <w:bidi w:val="0"/>
        <w:adjustRightInd/>
        <w:snapToGrid/>
        <w:spacing w:after="157" w:afterLines="50" w:line="600" w:lineRule="exact"/>
        <w:ind w:left="0" w:leftChars="0" w:firstLine="641" w:firstLineChars="200"/>
        <w:jc w:val="both"/>
        <w:textAlignment w:val="auto"/>
        <w:rPr>
          <w:rFonts w:hint="eastAsia" w:ascii="仿宋_GB2312" w:hAnsi="Calibri" w:eastAsia="仿宋_GB2312" w:cs="Times New Roman"/>
          <w:b/>
          <w:bCs/>
          <w:color w:val="000000"/>
          <w:kern w:val="2"/>
          <w:sz w:val="32"/>
          <w:szCs w:val="32"/>
          <w:lang w:val="en-US" w:eastAsia="zh-CN" w:bidi="ar-SA"/>
        </w:rPr>
      </w:pPr>
      <w:r>
        <w:rPr>
          <w:rFonts w:hint="eastAsia" w:ascii="仿宋_GB2312" w:hAnsi="Calibri" w:eastAsia="仿宋_GB2312" w:cs="Times New Roman"/>
          <w:b/>
          <w:bCs/>
          <w:color w:val="000000"/>
          <w:kern w:val="2"/>
          <w:sz w:val="32"/>
          <w:szCs w:val="32"/>
          <w:u w:val="none"/>
          <w:lang w:val="en-US" w:eastAsia="zh-CN" w:bidi="ar-SA"/>
        </w:rPr>
        <w:t>处理模式：</w:t>
      </w:r>
      <w:r>
        <w:rPr>
          <w:rFonts w:hint="eastAsia" w:ascii="仿宋_GB2312" w:hAnsi="Calibri" w:eastAsia="仿宋_GB2312" w:cs="Times New Roman"/>
          <w:b/>
          <w:bCs/>
          <w:color w:val="000000"/>
          <w:kern w:val="2"/>
          <w:sz w:val="32"/>
          <w:szCs w:val="32"/>
          <w:u w:val="single"/>
          <w:lang w:val="en-US" w:eastAsia="zh-CN" w:bidi="ar-SA"/>
        </w:rPr>
        <w:t xml:space="preserve">               </w:t>
      </w:r>
      <w:r>
        <w:rPr>
          <w:rFonts w:hint="eastAsia" w:ascii="仿宋_GB2312" w:hAnsi="Calibri" w:eastAsia="仿宋_GB2312" w:cs="Times New Roman"/>
          <w:b/>
          <w:bCs/>
          <w:color w:val="000000"/>
          <w:kern w:val="2"/>
          <w:sz w:val="32"/>
          <w:szCs w:val="32"/>
          <w:lang w:val="en-US" w:eastAsia="zh-CN" w:bidi="ar-SA"/>
        </w:rPr>
        <w:t>处理工艺：</w:t>
      </w:r>
      <w:r>
        <w:rPr>
          <w:rFonts w:hint="eastAsia" w:ascii="仿宋_GB2312" w:hAnsi="Calibri" w:eastAsia="仿宋_GB2312" w:cs="Times New Roman"/>
          <w:b/>
          <w:bCs/>
          <w:color w:val="000000"/>
          <w:kern w:val="2"/>
          <w:sz w:val="32"/>
          <w:szCs w:val="32"/>
          <w:u w:val="single"/>
          <w:lang w:val="en-US" w:eastAsia="zh-CN" w:bidi="ar-SA"/>
        </w:rPr>
        <w:t xml:space="preserve">             </w:t>
      </w:r>
    </w:p>
    <w:tbl>
      <w:tblPr>
        <w:tblStyle w:val="8"/>
        <w:tblW w:w="5050" w:type="pct"/>
        <w:tblInd w:w="-1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27"/>
        <w:gridCol w:w="1456"/>
        <w:gridCol w:w="2503"/>
        <w:gridCol w:w="947"/>
        <w:gridCol w:w="2119"/>
      </w:tblGrid>
      <w:tr w14:paraId="70C30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blHeader/>
        </w:trPr>
        <w:tc>
          <w:tcPr>
            <w:tcW w:w="1162" w:type="pct"/>
            <w:tcBorders>
              <w:top w:val="single" w:color="000000" w:sz="8" w:space="0"/>
              <w:left w:val="single" w:color="000000" w:sz="8" w:space="0"/>
              <w:bottom w:val="single" w:color="000000" w:sz="8" w:space="0"/>
              <w:right w:val="single" w:color="000000" w:sz="8" w:space="0"/>
            </w:tcBorders>
            <w:noWrap w:val="0"/>
            <w:vAlign w:val="center"/>
          </w:tcPr>
          <w:p w14:paraId="42F4E73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楷体_GB2312" w:hAnsi="楷体_GB2312" w:eastAsia="楷体_GB2312" w:cs="楷体_GB2312"/>
                <w:b/>
                <w:bCs/>
                <w:sz w:val="28"/>
                <w:szCs w:val="28"/>
                <w:lang w:val="en-US" w:eastAsia="zh-CN"/>
              </w:rPr>
            </w:pPr>
            <w:r>
              <w:rPr>
                <w:rFonts w:hint="eastAsia" w:ascii="楷体_GB2312" w:hAnsi="楷体_GB2312" w:eastAsia="楷体_GB2312" w:cs="楷体_GB2312"/>
                <w:b/>
                <w:bCs/>
                <w:sz w:val="28"/>
                <w:szCs w:val="28"/>
                <w:lang w:val="en-US" w:eastAsia="zh-CN"/>
              </w:rPr>
              <w:t>考核项</w:t>
            </w:r>
          </w:p>
        </w:tc>
        <w:tc>
          <w:tcPr>
            <w:tcW w:w="794" w:type="pct"/>
            <w:tcBorders>
              <w:top w:val="single" w:color="000000" w:sz="8" w:space="0"/>
              <w:left w:val="single" w:color="000000" w:sz="8" w:space="0"/>
              <w:bottom w:val="single" w:color="000000" w:sz="8" w:space="0"/>
              <w:right w:val="single" w:color="000000" w:sz="8" w:space="0"/>
            </w:tcBorders>
            <w:noWrap w:val="0"/>
            <w:vAlign w:val="center"/>
          </w:tcPr>
          <w:p w14:paraId="6C97091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楷体_GB2312" w:hAnsi="楷体_GB2312" w:eastAsia="楷体_GB2312" w:cs="楷体_GB2312"/>
                <w:b/>
                <w:bCs/>
                <w:sz w:val="28"/>
                <w:szCs w:val="28"/>
                <w:lang w:val="en-US" w:eastAsia="zh-CN"/>
              </w:rPr>
            </w:pPr>
            <w:r>
              <w:rPr>
                <w:rFonts w:hint="eastAsia" w:ascii="楷体_GB2312" w:hAnsi="楷体_GB2312" w:eastAsia="楷体_GB2312" w:cs="楷体_GB2312"/>
                <w:b/>
                <w:bCs/>
                <w:sz w:val="28"/>
                <w:szCs w:val="28"/>
                <w:lang w:val="en-US" w:eastAsia="zh-CN"/>
              </w:rPr>
              <w:t>评价项目</w:t>
            </w:r>
          </w:p>
        </w:tc>
        <w:tc>
          <w:tcPr>
            <w:tcW w:w="1367" w:type="pct"/>
            <w:tcBorders>
              <w:top w:val="single" w:color="000000" w:sz="8" w:space="0"/>
              <w:left w:val="single" w:color="000000" w:sz="8" w:space="0"/>
              <w:bottom w:val="single" w:color="000000" w:sz="8" w:space="0"/>
              <w:right w:val="single" w:color="000000" w:sz="8" w:space="0"/>
            </w:tcBorders>
            <w:noWrap w:val="0"/>
            <w:vAlign w:val="center"/>
          </w:tcPr>
          <w:p w14:paraId="032C297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楷体_GB2312" w:hAnsi="楷体_GB2312" w:eastAsia="楷体_GB2312" w:cs="楷体_GB2312"/>
                <w:b/>
                <w:bCs/>
                <w:sz w:val="28"/>
                <w:szCs w:val="28"/>
                <w:lang w:val="en-US" w:eastAsia="zh-CN"/>
              </w:rPr>
            </w:pPr>
            <w:r>
              <w:rPr>
                <w:rFonts w:hint="eastAsia" w:ascii="楷体_GB2312" w:hAnsi="楷体_GB2312" w:eastAsia="楷体_GB2312" w:cs="楷体_GB2312"/>
                <w:b/>
                <w:bCs/>
                <w:sz w:val="28"/>
                <w:szCs w:val="28"/>
                <w:lang w:val="en-US" w:eastAsia="zh-CN"/>
              </w:rPr>
              <w:t>评分指标</w:t>
            </w:r>
          </w:p>
        </w:tc>
        <w:tc>
          <w:tcPr>
            <w:tcW w:w="517" w:type="pct"/>
            <w:tcBorders>
              <w:top w:val="single" w:color="000000" w:sz="8" w:space="0"/>
              <w:left w:val="single" w:color="000000" w:sz="8" w:space="0"/>
              <w:bottom w:val="single" w:color="000000" w:sz="8" w:space="0"/>
              <w:right w:val="single" w:color="000000" w:sz="8" w:space="0"/>
            </w:tcBorders>
            <w:noWrap w:val="0"/>
            <w:vAlign w:val="center"/>
          </w:tcPr>
          <w:p w14:paraId="70AE68A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楷体_GB2312" w:hAnsi="楷体_GB2312" w:eastAsia="楷体_GB2312" w:cs="楷体_GB2312"/>
                <w:b/>
                <w:bCs/>
                <w:sz w:val="28"/>
                <w:szCs w:val="28"/>
                <w:lang w:val="en-US" w:eastAsia="zh-CN"/>
              </w:rPr>
            </w:pPr>
            <w:r>
              <w:rPr>
                <w:rFonts w:hint="eastAsia" w:ascii="楷体_GB2312" w:hAnsi="楷体_GB2312" w:eastAsia="楷体_GB2312" w:cs="楷体_GB2312"/>
                <w:b/>
                <w:bCs/>
                <w:sz w:val="28"/>
                <w:szCs w:val="28"/>
                <w:lang w:val="en-US" w:eastAsia="zh-CN"/>
              </w:rPr>
              <w:t>得分</w:t>
            </w:r>
          </w:p>
        </w:tc>
        <w:tc>
          <w:tcPr>
            <w:tcW w:w="1157" w:type="pct"/>
            <w:tcBorders>
              <w:top w:val="single" w:color="000000" w:sz="8" w:space="0"/>
              <w:left w:val="single" w:color="000000" w:sz="8" w:space="0"/>
              <w:bottom w:val="single" w:color="000000" w:sz="8" w:space="0"/>
              <w:right w:val="single" w:color="000000" w:sz="8" w:space="0"/>
            </w:tcBorders>
            <w:noWrap w:val="0"/>
            <w:vAlign w:val="center"/>
          </w:tcPr>
          <w:p w14:paraId="2096DF4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楷体_GB2312" w:hAnsi="楷体_GB2312" w:eastAsia="楷体_GB2312" w:cs="楷体_GB2312"/>
                <w:b/>
                <w:bCs/>
                <w:sz w:val="28"/>
                <w:szCs w:val="28"/>
                <w:lang w:val="en-US" w:eastAsia="zh-CN"/>
              </w:rPr>
            </w:pPr>
            <w:r>
              <w:rPr>
                <w:rFonts w:hint="eastAsia" w:ascii="楷体_GB2312" w:hAnsi="楷体_GB2312" w:eastAsia="楷体_GB2312" w:cs="楷体_GB2312"/>
                <w:b/>
                <w:bCs/>
                <w:sz w:val="28"/>
                <w:szCs w:val="28"/>
                <w:lang w:val="en-US" w:eastAsia="zh-CN"/>
              </w:rPr>
              <w:t>扣分（如有）</w:t>
            </w:r>
          </w:p>
          <w:p w14:paraId="6DB3E5A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楷体_GB2312" w:hAnsi="楷体_GB2312" w:eastAsia="楷体_GB2312" w:cs="楷体_GB2312"/>
                <w:b/>
                <w:bCs/>
                <w:sz w:val="28"/>
                <w:szCs w:val="28"/>
                <w:lang w:val="en-US" w:eastAsia="zh-CN"/>
              </w:rPr>
            </w:pPr>
            <w:r>
              <w:rPr>
                <w:rFonts w:hint="eastAsia" w:ascii="楷体_GB2312" w:hAnsi="楷体_GB2312" w:eastAsia="楷体_GB2312" w:cs="楷体_GB2312"/>
                <w:b/>
                <w:bCs/>
                <w:sz w:val="28"/>
                <w:szCs w:val="28"/>
                <w:lang w:val="en-US" w:eastAsia="zh-CN"/>
              </w:rPr>
              <w:t>原因</w:t>
            </w:r>
          </w:p>
        </w:tc>
      </w:tr>
      <w:tr w14:paraId="62EB0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162" w:type="pct"/>
            <w:vMerge w:val="restart"/>
            <w:tcBorders>
              <w:top w:val="single" w:color="000000" w:sz="8" w:space="0"/>
              <w:left w:val="single" w:color="000000" w:sz="8" w:space="0"/>
              <w:right w:val="single" w:color="000000" w:sz="8" w:space="0"/>
            </w:tcBorders>
            <w:noWrap w:val="0"/>
            <w:vAlign w:val="center"/>
          </w:tcPr>
          <w:p w14:paraId="30CC058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现场管理</w:t>
            </w:r>
          </w:p>
          <w:p w14:paraId="5FB8CA7B">
            <w:pPr>
              <w:pStyle w:val="2"/>
              <w:rPr>
                <w:rFonts w:hint="default"/>
                <w:lang w:val="en-US" w:eastAsia="zh-CN"/>
              </w:rPr>
            </w:pPr>
            <w:r>
              <w:rPr>
                <w:rFonts w:hint="eastAsia" w:cs="仿宋_GB2312"/>
                <w:sz w:val="28"/>
                <w:szCs w:val="28"/>
                <w:lang w:val="en-US" w:eastAsia="zh-CN"/>
              </w:rPr>
              <w:t>（60分）</w:t>
            </w:r>
          </w:p>
        </w:tc>
        <w:tc>
          <w:tcPr>
            <w:tcW w:w="794" w:type="pct"/>
            <w:tcBorders>
              <w:top w:val="single" w:color="000000" w:sz="8" w:space="0"/>
              <w:left w:val="single" w:color="000000" w:sz="8" w:space="0"/>
              <w:bottom w:val="single" w:color="000000" w:sz="8" w:space="0"/>
              <w:right w:val="single" w:color="000000" w:sz="8" w:space="0"/>
            </w:tcBorders>
            <w:noWrap w:val="0"/>
            <w:vAlign w:val="center"/>
          </w:tcPr>
          <w:p w14:paraId="4D75EA7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质量控制（10分）</w:t>
            </w:r>
          </w:p>
        </w:tc>
        <w:tc>
          <w:tcPr>
            <w:tcW w:w="1367" w:type="pct"/>
            <w:tcBorders>
              <w:top w:val="single" w:color="000000" w:sz="8" w:space="0"/>
              <w:left w:val="single" w:color="000000" w:sz="8" w:space="0"/>
              <w:bottom w:val="single" w:color="000000" w:sz="8" w:space="0"/>
              <w:right w:val="single" w:color="000000" w:sz="8" w:space="0"/>
            </w:tcBorders>
            <w:noWrap w:val="0"/>
            <w:vAlign w:val="center"/>
          </w:tcPr>
          <w:p w14:paraId="0853B50A">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出水水质指标</w:t>
            </w:r>
          </w:p>
        </w:tc>
        <w:tc>
          <w:tcPr>
            <w:tcW w:w="517" w:type="pct"/>
            <w:tcBorders>
              <w:top w:val="single" w:color="000000" w:sz="8" w:space="0"/>
              <w:left w:val="single" w:color="000000" w:sz="8" w:space="0"/>
              <w:bottom w:val="single" w:color="000000" w:sz="8" w:space="0"/>
              <w:right w:val="single" w:color="000000" w:sz="8" w:space="0"/>
            </w:tcBorders>
            <w:noWrap w:val="0"/>
            <w:vAlign w:val="center"/>
          </w:tcPr>
          <w:p w14:paraId="3630845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p>
        </w:tc>
        <w:tc>
          <w:tcPr>
            <w:tcW w:w="1157" w:type="pct"/>
            <w:tcBorders>
              <w:top w:val="single" w:color="000000" w:sz="8" w:space="0"/>
              <w:left w:val="single" w:color="000000" w:sz="8" w:space="0"/>
              <w:bottom w:val="single" w:color="000000" w:sz="8" w:space="0"/>
              <w:right w:val="single" w:color="000000" w:sz="8" w:space="0"/>
            </w:tcBorders>
            <w:noWrap w:val="0"/>
            <w:vAlign w:val="center"/>
          </w:tcPr>
          <w:p w14:paraId="513F005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150E3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162" w:type="pct"/>
            <w:vMerge w:val="continue"/>
            <w:tcBorders>
              <w:left w:val="single" w:color="000000" w:sz="8" w:space="0"/>
              <w:right w:val="single" w:color="000000" w:sz="8" w:space="0"/>
            </w:tcBorders>
            <w:noWrap w:val="0"/>
            <w:vAlign w:val="center"/>
          </w:tcPr>
          <w:p w14:paraId="180E4C6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794" w:type="pct"/>
            <w:vMerge w:val="restart"/>
            <w:tcBorders>
              <w:top w:val="single" w:color="000000" w:sz="8" w:space="0"/>
              <w:left w:val="single" w:color="000000" w:sz="8" w:space="0"/>
              <w:right w:val="single" w:color="000000" w:sz="8" w:space="0"/>
            </w:tcBorders>
            <w:noWrap w:val="0"/>
            <w:vAlign w:val="center"/>
          </w:tcPr>
          <w:p w14:paraId="0335C20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污水收集系统管理（20分）</w:t>
            </w:r>
          </w:p>
        </w:tc>
        <w:tc>
          <w:tcPr>
            <w:tcW w:w="1367" w:type="pct"/>
            <w:tcBorders>
              <w:top w:val="single" w:color="000000" w:sz="8" w:space="0"/>
              <w:left w:val="single" w:color="000000" w:sz="8" w:space="0"/>
              <w:bottom w:val="single" w:color="000000" w:sz="8" w:space="0"/>
              <w:right w:val="single" w:color="000000" w:sz="8" w:space="0"/>
            </w:tcBorders>
            <w:noWrap w:val="0"/>
            <w:vAlign w:val="center"/>
          </w:tcPr>
          <w:p w14:paraId="7786870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管道和检查井</w:t>
            </w:r>
          </w:p>
        </w:tc>
        <w:tc>
          <w:tcPr>
            <w:tcW w:w="517" w:type="pct"/>
            <w:tcBorders>
              <w:top w:val="single" w:color="000000" w:sz="8" w:space="0"/>
              <w:left w:val="single" w:color="000000" w:sz="8" w:space="0"/>
              <w:bottom w:val="single" w:color="000000" w:sz="8" w:space="0"/>
              <w:right w:val="single" w:color="000000" w:sz="8" w:space="0"/>
            </w:tcBorders>
            <w:noWrap w:val="0"/>
            <w:vAlign w:val="center"/>
          </w:tcPr>
          <w:p w14:paraId="0BF4A49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157" w:type="pct"/>
            <w:tcBorders>
              <w:top w:val="single" w:color="000000" w:sz="8" w:space="0"/>
              <w:left w:val="single" w:color="000000" w:sz="8" w:space="0"/>
              <w:bottom w:val="single" w:color="000000" w:sz="8" w:space="0"/>
              <w:right w:val="single" w:color="000000" w:sz="8" w:space="0"/>
            </w:tcBorders>
            <w:noWrap w:val="0"/>
            <w:vAlign w:val="center"/>
          </w:tcPr>
          <w:p w14:paraId="018EE5B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48187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162" w:type="pct"/>
            <w:vMerge w:val="continue"/>
            <w:tcBorders>
              <w:left w:val="single" w:color="000000" w:sz="8" w:space="0"/>
              <w:right w:val="single" w:color="000000" w:sz="8" w:space="0"/>
            </w:tcBorders>
            <w:noWrap w:val="0"/>
            <w:vAlign w:val="center"/>
          </w:tcPr>
          <w:p w14:paraId="49D0A7F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794" w:type="pct"/>
            <w:vMerge w:val="continue"/>
            <w:tcBorders>
              <w:left w:val="single" w:color="000000" w:sz="8" w:space="0"/>
              <w:bottom w:val="single" w:color="000000" w:sz="8" w:space="0"/>
              <w:right w:val="single" w:color="000000" w:sz="8" w:space="0"/>
            </w:tcBorders>
            <w:noWrap w:val="0"/>
            <w:vAlign w:val="center"/>
          </w:tcPr>
          <w:p w14:paraId="7DB392F8">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367" w:type="pct"/>
            <w:tcBorders>
              <w:top w:val="single" w:color="000000" w:sz="8" w:space="0"/>
              <w:left w:val="single" w:color="000000" w:sz="8" w:space="0"/>
              <w:bottom w:val="single" w:color="000000" w:sz="8" w:space="0"/>
              <w:right w:val="single" w:color="000000" w:sz="8" w:space="0"/>
            </w:tcBorders>
            <w:noWrap w:val="0"/>
            <w:vAlign w:val="center"/>
          </w:tcPr>
          <w:p w14:paraId="7D5821F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井盖等附属设施</w:t>
            </w:r>
          </w:p>
        </w:tc>
        <w:tc>
          <w:tcPr>
            <w:tcW w:w="517" w:type="pct"/>
            <w:tcBorders>
              <w:top w:val="single" w:color="000000" w:sz="8" w:space="0"/>
              <w:left w:val="single" w:color="000000" w:sz="8" w:space="0"/>
              <w:bottom w:val="single" w:color="000000" w:sz="8" w:space="0"/>
              <w:right w:val="single" w:color="000000" w:sz="8" w:space="0"/>
            </w:tcBorders>
            <w:noWrap w:val="0"/>
            <w:vAlign w:val="center"/>
          </w:tcPr>
          <w:p w14:paraId="4E2D45D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p>
        </w:tc>
        <w:tc>
          <w:tcPr>
            <w:tcW w:w="1157" w:type="pct"/>
            <w:tcBorders>
              <w:top w:val="single" w:color="000000" w:sz="8" w:space="0"/>
              <w:left w:val="single" w:color="000000" w:sz="8" w:space="0"/>
              <w:bottom w:val="single" w:color="000000" w:sz="8" w:space="0"/>
              <w:right w:val="single" w:color="000000" w:sz="8" w:space="0"/>
            </w:tcBorders>
            <w:noWrap w:val="0"/>
            <w:vAlign w:val="center"/>
          </w:tcPr>
          <w:p w14:paraId="6B6A6A3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7118A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162" w:type="pct"/>
            <w:vMerge w:val="continue"/>
            <w:tcBorders>
              <w:left w:val="single" w:color="000000" w:sz="8" w:space="0"/>
              <w:right w:val="single" w:color="000000" w:sz="8" w:space="0"/>
            </w:tcBorders>
            <w:noWrap w:val="0"/>
            <w:vAlign w:val="center"/>
          </w:tcPr>
          <w:p w14:paraId="61EAE83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794" w:type="pct"/>
            <w:vMerge w:val="restart"/>
            <w:tcBorders>
              <w:top w:val="single" w:color="000000" w:sz="8" w:space="0"/>
              <w:left w:val="single" w:color="000000" w:sz="8" w:space="0"/>
              <w:right w:val="single" w:color="000000" w:sz="8" w:space="0"/>
            </w:tcBorders>
            <w:noWrap w:val="0"/>
            <w:vAlign w:val="center"/>
          </w:tcPr>
          <w:p w14:paraId="46126CA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污水处理站点管理（30分）</w:t>
            </w:r>
          </w:p>
        </w:tc>
        <w:tc>
          <w:tcPr>
            <w:tcW w:w="1367" w:type="pct"/>
            <w:tcBorders>
              <w:top w:val="single" w:color="000000" w:sz="8" w:space="0"/>
              <w:left w:val="single" w:color="000000" w:sz="8" w:space="0"/>
              <w:bottom w:val="single" w:color="000000" w:sz="8" w:space="0"/>
              <w:right w:val="single" w:color="000000" w:sz="8" w:space="0"/>
            </w:tcBorders>
            <w:noWrap w:val="0"/>
            <w:vAlign w:val="center"/>
          </w:tcPr>
          <w:p w14:paraId="047AFAD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环境卫生</w:t>
            </w:r>
          </w:p>
        </w:tc>
        <w:tc>
          <w:tcPr>
            <w:tcW w:w="517" w:type="pct"/>
            <w:tcBorders>
              <w:top w:val="single" w:color="000000" w:sz="8" w:space="0"/>
              <w:left w:val="single" w:color="000000" w:sz="8" w:space="0"/>
              <w:bottom w:val="single" w:color="000000" w:sz="8" w:space="0"/>
              <w:right w:val="single" w:color="000000" w:sz="8" w:space="0"/>
            </w:tcBorders>
            <w:noWrap w:val="0"/>
            <w:vAlign w:val="center"/>
          </w:tcPr>
          <w:p w14:paraId="16F017B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157" w:type="pct"/>
            <w:tcBorders>
              <w:top w:val="single" w:color="000000" w:sz="8" w:space="0"/>
              <w:left w:val="single" w:color="000000" w:sz="8" w:space="0"/>
              <w:bottom w:val="single" w:color="000000" w:sz="8" w:space="0"/>
              <w:right w:val="single" w:color="000000" w:sz="8" w:space="0"/>
            </w:tcBorders>
            <w:noWrap w:val="0"/>
            <w:vAlign w:val="center"/>
          </w:tcPr>
          <w:p w14:paraId="0D95A35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75115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162" w:type="pct"/>
            <w:vMerge w:val="continue"/>
            <w:tcBorders>
              <w:left w:val="single" w:color="000000" w:sz="8" w:space="0"/>
              <w:right w:val="single" w:color="000000" w:sz="8" w:space="0"/>
            </w:tcBorders>
            <w:noWrap w:val="0"/>
            <w:vAlign w:val="center"/>
          </w:tcPr>
          <w:p w14:paraId="494EA2CA">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794" w:type="pct"/>
            <w:vMerge w:val="continue"/>
            <w:tcBorders>
              <w:left w:val="single" w:color="000000" w:sz="8" w:space="0"/>
              <w:right w:val="single" w:color="000000" w:sz="8" w:space="0"/>
            </w:tcBorders>
            <w:noWrap w:val="0"/>
            <w:vAlign w:val="center"/>
          </w:tcPr>
          <w:p w14:paraId="3D8ADD3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367" w:type="pct"/>
            <w:tcBorders>
              <w:top w:val="single" w:color="000000" w:sz="8" w:space="0"/>
              <w:left w:val="single" w:color="000000" w:sz="8" w:space="0"/>
              <w:bottom w:val="single" w:color="000000" w:sz="8" w:space="0"/>
              <w:right w:val="single" w:color="000000" w:sz="8" w:space="0"/>
            </w:tcBorders>
            <w:noWrap w:val="0"/>
            <w:vAlign w:val="center"/>
          </w:tcPr>
          <w:p w14:paraId="0DFCC0A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预处理设施</w:t>
            </w:r>
          </w:p>
        </w:tc>
        <w:tc>
          <w:tcPr>
            <w:tcW w:w="517" w:type="pct"/>
            <w:tcBorders>
              <w:top w:val="single" w:color="000000" w:sz="8" w:space="0"/>
              <w:left w:val="single" w:color="000000" w:sz="8" w:space="0"/>
              <w:right w:val="single" w:color="000000" w:sz="8" w:space="0"/>
            </w:tcBorders>
            <w:noWrap w:val="0"/>
            <w:vAlign w:val="center"/>
          </w:tcPr>
          <w:p w14:paraId="151E4DE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157" w:type="pct"/>
            <w:tcBorders>
              <w:top w:val="single" w:color="000000" w:sz="8" w:space="0"/>
              <w:left w:val="single" w:color="000000" w:sz="8" w:space="0"/>
              <w:bottom w:val="single" w:color="000000" w:sz="8" w:space="0"/>
              <w:right w:val="single" w:color="000000" w:sz="8" w:space="0"/>
            </w:tcBorders>
            <w:noWrap w:val="0"/>
            <w:vAlign w:val="center"/>
          </w:tcPr>
          <w:p w14:paraId="07B524F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5E927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162" w:type="pct"/>
            <w:vMerge w:val="continue"/>
            <w:tcBorders>
              <w:left w:val="single" w:color="000000" w:sz="8" w:space="0"/>
              <w:right w:val="single" w:color="000000" w:sz="8" w:space="0"/>
            </w:tcBorders>
            <w:noWrap w:val="0"/>
            <w:vAlign w:val="center"/>
          </w:tcPr>
          <w:p w14:paraId="480E21B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794" w:type="pct"/>
            <w:vMerge w:val="continue"/>
            <w:tcBorders>
              <w:left w:val="single" w:color="000000" w:sz="8" w:space="0"/>
              <w:right w:val="single" w:color="000000" w:sz="8" w:space="0"/>
            </w:tcBorders>
            <w:noWrap w:val="0"/>
            <w:vAlign w:val="center"/>
          </w:tcPr>
          <w:p w14:paraId="7CCC44C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367" w:type="pct"/>
            <w:tcBorders>
              <w:top w:val="single" w:color="000000" w:sz="8" w:space="0"/>
              <w:left w:val="single" w:color="000000" w:sz="8" w:space="0"/>
              <w:bottom w:val="single" w:color="000000" w:sz="8" w:space="0"/>
              <w:right w:val="single" w:color="000000" w:sz="8" w:space="0"/>
            </w:tcBorders>
            <w:noWrap w:val="0"/>
            <w:vAlign w:val="center"/>
          </w:tcPr>
          <w:p w14:paraId="09BAB94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主体处理设施</w:t>
            </w:r>
          </w:p>
        </w:tc>
        <w:tc>
          <w:tcPr>
            <w:tcW w:w="517" w:type="pct"/>
            <w:tcBorders>
              <w:top w:val="single" w:color="000000" w:sz="8" w:space="0"/>
              <w:left w:val="single" w:color="000000" w:sz="8" w:space="0"/>
              <w:right w:val="single" w:color="000000" w:sz="8" w:space="0"/>
            </w:tcBorders>
            <w:noWrap w:val="0"/>
            <w:vAlign w:val="center"/>
          </w:tcPr>
          <w:p w14:paraId="790A22B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157" w:type="pct"/>
            <w:tcBorders>
              <w:top w:val="single" w:color="000000" w:sz="8" w:space="0"/>
              <w:left w:val="single" w:color="000000" w:sz="8" w:space="0"/>
              <w:bottom w:val="single" w:color="000000" w:sz="8" w:space="0"/>
              <w:right w:val="single" w:color="000000" w:sz="8" w:space="0"/>
            </w:tcBorders>
            <w:noWrap w:val="0"/>
            <w:vAlign w:val="center"/>
          </w:tcPr>
          <w:p w14:paraId="01F9DF0A">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5E73E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162" w:type="pct"/>
            <w:vMerge w:val="continue"/>
            <w:tcBorders>
              <w:left w:val="single" w:color="000000" w:sz="8" w:space="0"/>
              <w:right w:val="single" w:color="000000" w:sz="8" w:space="0"/>
            </w:tcBorders>
            <w:noWrap w:val="0"/>
            <w:vAlign w:val="center"/>
          </w:tcPr>
          <w:p w14:paraId="21D8093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794" w:type="pct"/>
            <w:vMerge w:val="continue"/>
            <w:tcBorders>
              <w:left w:val="single" w:color="000000" w:sz="8" w:space="0"/>
              <w:right w:val="single" w:color="000000" w:sz="8" w:space="0"/>
            </w:tcBorders>
            <w:noWrap w:val="0"/>
            <w:vAlign w:val="center"/>
          </w:tcPr>
          <w:p w14:paraId="11D3EA3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367" w:type="pct"/>
            <w:tcBorders>
              <w:top w:val="single" w:color="000000" w:sz="8" w:space="0"/>
              <w:left w:val="single" w:color="000000" w:sz="8" w:space="0"/>
              <w:right w:val="single" w:color="000000" w:sz="8" w:space="0"/>
            </w:tcBorders>
            <w:noWrap w:val="0"/>
            <w:vAlign w:val="center"/>
          </w:tcPr>
          <w:p w14:paraId="5540476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信息公开</w:t>
            </w:r>
          </w:p>
        </w:tc>
        <w:tc>
          <w:tcPr>
            <w:tcW w:w="517" w:type="pct"/>
            <w:tcBorders>
              <w:top w:val="single" w:color="000000" w:sz="8" w:space="0"/>
              <w:left w:val="single" w:color="000000" w:sz="8" w:space="0"/>
              <w:right w:val="single" w:color="000000" w:sz="8" w:space="0"/>
            </w:tcBorders>
            <w:noWrap w:val="0"/>
            <w:vAlign w:val="center"/>
          </w:tcPr>
          <w:p w14:paraId="55E3F21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p>
        </w:tc>
        <w:tc>
          <w:tcPr>
            <w:tcW w:w="1157" w:type="pct"/>
            <w:tcBorders>
              <w:top w:val="single" w:color="000000" w:sz="8" w:space="0"/>
              <w:left w:val="single" w:color="000000" w:sz="8" w:space="0"/>
              <w:bottom w:val="single" w:color="000000" w:sz="8" w:space="0"/>
              <w:right w:val="single" w:color="000000" w:sz="8" w:space="0"/>
            </w:tcBorders>
            <w:noWrap w:val="0"/>
            <w:vAlign w:val="center"/>
          </w:tcPr>
          <w:p w14:paraId="3CCBC13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2FAE3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162" w:type="pct"/>
            <w:vMerge w:val="restart"/>
            <w:tcBorders>
              <w:top w:val="single" w:color="000000" w:sz="8" w:space="0"/>
              <w:left w:val="single" w:color="000000" w:sz="8" w:space="0"/>
              <w:bottom w:val="single" w:color="000000" w:sz="8" w:space="0"/>
              <w:right w:val="single" w:color="000000" w:sz="8" w:space="0"/>
            </w:tcBorders>
            <w:noWrap w:val="0"/>
            <w:vAlign w:val="center"/>
          </w:tcPr>
          <w:p w14:paraId="77309A2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资料管理</w:t>
            </w:r>
          </w:p>
          <w:p w14:paraId="13D83C8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（40分）</w:t>
            </w:r>
          </w:p>
        </w:tc>
        <w:tc>
          <w:tcPr>
            <w:tcW w:w="794" w:type="pct"/>
            <w:vMerge w:val="restart"/>
            <w:tcBorders>
              <w:top w:val="single" w:color="000000" w:sz="8" w:space="0"/>
              <w:left w:val="single" w:color="000000" w:sz="8" w:space="0"/>
              <w:right w:val="single" w:color="000000" w:sz="8" w:space="0"/>
            </w:tcBorders>
            <w:noWrap w:val="0"/>
            <w:vAlign w:val="center"/>
          </w:tcPr>
          <w:p w14:paraId="44D2495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p>
        </w:tc>
        <w:tc>
          <w:tcPr>
            <w:tcW w:w="1367" w:type="pct"/>
            <w:tcBorders>
              <w:top w:val="single" w:color="000000" w:sz="8" w:space="0"/>
              <w:left w:val="single" w:color="000000" w:sz="8" w:space="0"/>
              <w:bottom w:val="single" w:color="000000" w:sz="8" w:space="0"/>
              <w:right w:val="single" w:color="000000" w:sz="8" w:space="0"/>
            </w:tcBorders>
            <w:noWrap w:val="0"/>
            <w:vAlign w:val="center"/>
          </w:tcPr>
          <w:p w14:paraId="042DFB0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日常运营管理体系</w:t>
            </w:r>
          </w:p>
        </w:tc>
        <w:tc>
          <w:tcPr>
            <w:tcW w:w="517" w:type="pct"/>
            <w:tcBorders>
              <w:top w:val="single" w:color="000000" w:sz="8" w:space="0"/>
              <w:left w:val="single" w:color="000000" w:sz="8" w:space="0"/>
              <w:bottom w:val="single" w:color="000000" w:sz="8" w:space="0"/>
              <w:right w:val="single" w:color="000000" w:sz="8" w:space="0"/>
            </w:tcBorders>
            <w:noWrap w:val="0"/>
            <w:vAlign w:val="center"/>
          </w:tcPr>
          <w:p w14:paraId="072FE53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157" w:type="pct"/>
            <w:tcBorders>
              <w:top w:val="single" w:color="000000" w:sz="8" w:space="0"/>
              <w:left w:val="single" w:color="000000" w:sz="8" w:space="0"/>
              <w:bottom w:val="single" w:color="000000" w:sz="8" w:space="0"/>
              <w:right w:val="single" w:color="000000" w:sz="8" w:space="0"/>
            </w:tcBorders>
            <w:noWrap w:val="0"/>
            <w:vAlign w:val="center"/>
          </w:tcPr>
          <w:p w14:paraId="7AB10EC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29896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162" w:type="pct"/>
            <w:vMerge w:val="continue"/>
            <w:tcBorders>
              <w:top w:val="single" w:color="000000" w:sz="8" w:space="0"/>
              <w:left w:val="single" w:color="000000" w:sz="8" w:space="0"/>
              <w:bottom w:val="single" w:color="000000" w:sz="8" w:space="0"/>
              <w:right w:val="single" w:color="000000" w:sz="8" w:space="0"/>
            </w:tcBorders>
            <w:noWrap w:val="0"/>
            <w:vAlign w:val="center"/>
          </w:tcPr>
          <w:p w14:paraId="7E9BAB0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794" w:type="pct"/>
            <w:vMerge w:val="continue"/>
            <w:tcBorders>
              <w:left w:val="single" w:color="000000" w:sz="8" w:space="0"/>
              <w:right w:val="single" w:color="000000" w:sz="8" w:space="0"/>
            </w:tcBorders>
            <w:noWrap w:val="0"/>
            <w:vAlign w:val="center"/>
          </w:tcPr>
          <w:p w14:paraId="675C8CB8">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367" w:type="pct"/>
            <w:tcBorders>
              <w:top w:val="single" w:color="000000" w:sz="8" w:space="0"/>
              <w:left w:val="single" w:color="000000" w:sz="8" w:space="0"/>
              <w:bottom w:val="single" w:color="000000" w:sz="8" w:space="0"/>
              <w:right w:val="single" w:color="000000" w:sz="8" w:space="0"/>
            </w:tcBorders>
            <w:noWrap w:val="0"/>
            <w:vAlign w:val="center"/>
          </w:tcPr>
          <w:p w14:paraId="25280FC8">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运营记录</w:t>
            </w:r>
          </w:p>
        </w:tc>
        <w:tc>
          <w:tcPr>
            <w:tcW w:w="517" w:type="pct"/>
            <w:tcBorders>
              <w:top w:val="single" w:color="000000" w:sz="8" w:space="0"/>
              <w:left w:val="single" w:color="000000" w:sz="8" w:space="0"/>
              <w:bottom w:val="single" w:color="000000" w:sz="8" w:space="0"/>
              <w:right w:val="single" w:color="000000" w:sz="8" w:space="0"/>
            </w:tcBorders>
            <w:noWrap w:val="0"/>
            <w:vAlign w:val="center"/>
          </w:tcPr>
          <w:p w14:paraId="098EBAE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157" w:type="pct"/>
            <w:tcBorders>
              <w:top w:val="single" w:color="000000" w:sz="8" w:space="0"/>
              <w:left w:val="single" w:color="000000" w:sz="8" w:space="0"/>
              <w:bottom w:val="single" w:color="000000" w:sz="8" w:space="0"/>
              <w:right w:val="single" w:color="000000" w:sz="8" w:space="0"/>
            </w:tcBorders>
            <w:noWrap w:val="0"/>
            <w:vAlign w:val="center"/>
          </w:tcPr>
          <w:p w14:paraId="5E468AF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591CF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162" w:type="pct"/>
            <w:vMerge w:val="continue"/>
            <w:tcBorders>
              <w:top w:val="single" w:color="000000" w:sz="8" w:space="0"/>
              <w:left w:val="single" w:color="000000" w:sz="8" w:space="0"/>
              <w:bottom w:val="single" w:color="000000" w:sz="8" w:space="0"/>
              <w:right w:val="single" w:color="000000" w:sz="8" w:space="0"/>
            </w:tcBorders>
            <w:noWrap w:val="0"/>
            <w:vAlign w:val="center"/>
          </w:tcPr>
          <w:p w14:paraId="0F0CA26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794" w:type="pct"/>
            <w:vMerge w:val="continue"/>
            <w:tcBorders>
              <w:left w:val="single" w:color="000000" w:sz="8" w:space="0"/>
              <w:bottom w:val="single" w:color="000000" w:sz="8" w:space="0"/>
              <w:right w:val="single" w:color="000000" w:sz="8" w:space="0"/>
            </w:tcBorders>
            <w:noWrap w:val="0"/>
            <w:vAlign w:val="center"/>
          </w:tcPr>
          <w:p w14:paraId="38AEF9E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367" w:type="pct"/>
            <w:tcBorders>
              <w:top w:val="single" w:color="000000" w:sz="8" w:space="0"/>
              <w:left w:val="single" w:color="000000" w:sz="8" w:space="0"/>
              <w:bottom w:val="single" w:color="000000" w:sz="8" w:space="0"/>
              <w:right w:val="single" w:color="000000" w:sz="8" w:space="0"/>
            </w:tcBorders>
            <w:noWrap w:val="0"/>
            <w:vAlign w:val="center"/>
          </w:tcPr>
          <w:p w14:paraId="4537165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维修及保养记录</w:t>
            </w:r>
          </w:p>
        </w:tc>
        <w:tc>
          <w:tcPr>
            <w:tcW w:w="517" w:type="pct"/>
            <w:tcBorders>
              <w:top w:val="single" w:color="000000" w:sz="8" w:space="0"/>
              <w:left w:val="single" w:color="000000" w:sz="8" w:space="0"/>
              <w:bottom w:val="single" w:color="000000" w:sz="8" w:space="0"/>
              <w:right w:val="single" w:color="000000" w:sz="8" w:space="0"/>
            </w:tcBorders>
            <w:noWrap w:val="0"/>
            <w:vAlign w:val="center"/>
          </w:tcPr>
          <w:p w14:paraId="3D5F2F1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157" w:type="pct"/>
            <w:tcBorders>
              <w:top w:val="single" w:color="000000" w:sz="8" w:space="0"/>
              <w:left w:val="single" w:color="000000" w:sz="8" w:space="0"/>
              <w:bottom w:val="single" w:color="000000" w:sz="8" w:space="0"/>
              <w:right w:val="single" w:color="000000" w:sz="8" w:space="0"/>
            </w:tcBorders>
            <w:noWrap w:val="0"/>
            <w:vAlign w:val="center"/>
          </w:tcPr>
          <w:p w14:paraId="60B1C3F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6EF9B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162" w:type="pct"/>
            <w:tcBorders>
              <w:top w:val="single" w:color="000000" w:sz="8" w:space="0"/>
              <w:left w:val="single" w:color="000000" w:sz="8" w:space="0"/>
              <w:bottom w:val="single" w:color="000000" w:sz="8" w:space="0"/>
              <w:right w:val="single" w:color="000000" w:sz="8" w:space="0"/>
            </w:tcBorders>
            <w:noWrap w:val="0"/>
            <w:vAlign w:val="center"/>
          </w:tcPr>
          <w:p w14:paraId="3CF35DB8">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综合评价</w:t>
            </w:r>
          </w:p>
          <w:p w14:paraId="444ABBF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（一票否决项）</w:t>
            </w:r>
          </w:p>
        </w:tc>
        <w:tc>
          <w:tcPr>
            <w:tcW w:w="794" w:type="pct"/>
            <w:tcBorders>
              <w:top w:val="single" w:color="000000" w:sz="8" w:space="0"/>
              <w:left w:val="single" w:color="000000" w:sz="8" w:space="0"/>
              <w:bottom w:val="single" w:color="000000" w:sz="8" w:space="0"/>
              <w:right w:val="single" w:color="000000" w:sz="8" w:space="0"/>
            </w:tcBorders>
            <w:noWrap w:val="0"/>
            <w:vAlign w:val="center"/>
          </w:tcPr>
          <w:p w14:paraId="790A08C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p>
        </w:tc>
        <w:tc>
          <w:tcPr>
            <w:tcW w:w="1367" w:type="pct"/>
            <w:tcBorders>
              <w:top w:val="single" w:color="000000" w:sz="8" w:space="0"/>
              <w:left w:val="single" w:color="000000" w:sz="8" w:space="0"/>
              <w:bottom w:val="single" w:color="000000" w:sz="8" w:space="0"/>
              <w:right w:val="single" w:color="000000" w:sz="8" w:space="0"/>
            </w:tcBorders>
            <w:noWrap w:val="0"/>
            <w:vAlign w:val="center"/>
          </w:tcPr>
          <w:p w14:paraId="1E849C9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负面通报及投诉</w:t>
            </w:r>
          </w:p>
        </w:tc>
        <w:tc>
          <w:tcPr>
            <w:tcW w:w="517" w:type="pct"/>
            <w:tcBorders>
              <w:top w:val="single" w:color="000000" w:sz="8" w:space="0"/>
              <w:left w:val="single" w:color="000000" w:sz="8" w:space="0"/>
              <w:bottom w:val="single" w:color="000000" w:sz="8" w:space="0"/>
              <w:right w:val="single" w:color="000000" w:sz="8" w:space="0"/>
            </w:tcBorders>
            <w:noWrap w:val="0"/>
            <w:vAlign w:val="center"/>
          </w:tcPr>
          <w:p w14:paraId="6C60CE0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p>
        </w:tc>
        <w:tc>
          <w:tcPr>
            <w:tcW w:w="1157" w:type="pct"/>
            <w:tcBorders>
              <w:top w:val="single" w:color="000000" w:sz="8" w:space="0"/>
              <w:left w:val="single" w:color="000000" w:sz="8" w:space="0"/>
              <w:bottom w:val="single" w:color="000000" w:sz="8" w:space="0"/>
              <w:right w:val="single" w:color="000000" w:sz="8" w:space="0"/>
            </w:tcBorders>
            <w:noWrap w:val="0"/>
            <w:vAlign w:val="center"/>
          </w:tcPr>
          <w:p w14:paraId="013CFDD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p>
        </w:tc>
      </w:tr>
      <w:tr w14:paraId="61FAD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957" w:type="pct"/>
            <w:gridSpan w:val="2"/>
            <w:tcBorders>
              <w:top w:val="single" w:color="000000" w:sz="8" w:space="0"/>
              <w:left w:val="single" w:color="000000" w:sz="8" w:space="0"/>
              <w:bottom w:val="single" w:color="000000" w:sz="8" w:space="0"/>
              <w:right w:val="single" w:color="000000" w:sz="8" w:space="0"/>
            </w:tcBorders>
            <w:noWrap w:val="0"/>
            <w:vAlign w:val="center"/>
          </w:tcPr>
          <w:p w14:paraId="673EB81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合计</w:t>
            </w:r>
          </w:p>
        </w:tc>
        <w:tc>
          <w:tcPr>
            <w:tcW w:w="1367" w:type="pct"/>
            <w:tcBorders>
              <w:top w:val="single" w:color="000000" w:sz="8" w:space="0"/>
              <w:left w:val="single" w:color="000000" w:sz="8" w:space="0"/>
              <w:bottom w:val="single" w:color="000000" w:sz="8" w:space="0"/>
              <w:right w:val="single" w:color="000000" w:sz="8" w:space="0"/>
            </w:tcBorders>
            <w:noWrap w:val="0"/>
            <w:vAlign w:val="center"/>
          </w:tcPr>
          <w:p w14:paraId="3367F69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b/>
                <w:bCs/>
                <w:sz w:val="28"/>
                <w:szCs w:val="28"/>
                <w:lang w:val="en-US" w:eastAsia="zh-CN"/>
              </w:rPr>
            </w:pPr>
          </w:p>
        </w:tc>
        <w:tc>
          <w:tcPr>
            <w:tcW w:w="517" w:type="pct"/>
            <w:tcBorders>
              <w:top w:val="single" w:color="000000" w:sz="8" w:space="0"/>
              <w:left w:val="single" w:color="000000" w:sz="8" w:space="0"/>
              <w:bottom w:val="single" w:color="000000" w:sz="8" w:space="0"/>
              <w:right w:val="single" w:color="000000" w:sz="8" w:space="0"/>
            </w:tcBorders>
            <w:noWrap w:val="0"/>
            <w:vAlign w:val="center"/>
          </w:tcPr>
          <w:p w14:paraId="422E9F1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b/>
                <w:bCs/>
                <w:sz w:val="28"/>
                <w:szCs w:val="28"/>
                <w:lang w:val="en-US" w:eastAsia="zh-CN"/>
              </w:rPr>
            </w:pPr>
          </w:p>
        </w:tc>
        <w:tc>
          <w:tcPr>
            <w:tcW w:w="1157" w:type="pct"/>
            <w:tcBorders>
              <w:top w:val="single" w:color="000000" w:sz="8" w:space="0"/>
              <w:left w:val="single" w:color="000000" w:sz="8" w:space="0"/>
              <w:bottom w:val="single" w:color="000000" w:sz="8" w:space="0"/>
              <w:right w:val="single" w:color="000000" w:sz="8" w:space="0"/>
            </w:tcBorders>
            <w:noWrap w:val="0"/>
            <w:vAlign w:val="center"/>
          </w:tcPr>
          <w:p w14:paraId="36667A4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val="0"/>
                <w:bCs w:val="0"/>
                <w:sz w:val="28"/>
                <w:szCs w:val="28"/>
                <w:lang w:val="en-US" w:eastAsia="zh-CN"/>
              </w:rPr>
              <w:t>/</w:t>
            </w:r>
          </w:p>
        </w:tc>
      </w:tr>
    </w:tbl>
    <w:p w14:paraId="17AC272B">
      <w:pPr>
        <w:pStyle w:val="4"/>
        <w:keepNext w:val="0"/>
        <w:keepLines w:val="0"/>
        <w:pageBreakBefore w:val="0"/>
        <w:widowControl w:val="0"/>
        <w:numPr>
          <w:ilvl w:val="0"/>
          <w:numId w:val="0"/>
        </w:numPr>
        <w:kinsoku/>
        <w:wordWrap/>
        <w:overflowPunct/>
        <w:topLinePunct w:val="0"/>
        <w:autoSpaceDE/>
        <w:autoSpaceDN/>
        <w:bidi w:val="0"/>
        <w:adjustRightInd/>
        <w:snapToGrid/>
        <w:spacing w:before="157" w:beforeLines="50" w:line="600" w:lineRule="exact"/>
        <w:jc w:val="both"/>
        <w:textAlignment w:val="auto"/>
        <w:rPr>
          <w:rFonts w:hint="eastAsia" w:ascii="仿宋_GB2312" w:hAnsi="Calibri" w:eastAsia="仿宋_GB2312" w:cs="Times New Roman"/>
          <w:b/>
          <w:bCs/>
          <w:color w:val="000000"/>
          <w:kern w:val="2"/>
          <w:sz w:val="32"/>
          <w:szCs w:val="32"/>
          <w:lang w:val="en-US" w:eastAsia="zh-CN" w:bidi="ar-SA"/>
        </w:rPr>
      </w:pPr>
      <w:r>
        <w:rPr>
          <w:rFonts w:hint="eastAsia" w:ascii="仿宋_GB2312" w:hAnsi="Calibri" w:eastAsia="仿宋_GB2312" w:cs="Times New Roman"/>
          <w:b/>
          <w:bCs/>
          <w:color w:val="000000"/>
          <w:kern w:val="2"/>
          <w:sz w:val="32"/>
          <w:szCs w:val="32"/>
          <w:lang w:val="en-US" w:eastAsia="zh-CN" w:bidi="ar-SA"/>
        </w:rPr>
        <w:t>考核组签名（至少2人）：</w:t>
      </w:r>
      <w:r>
        <w:rPr>
          <w:rFonts w:hint="eastAsia" w:ascii="仿宋_GB2312" w:hAnsi="Calibri" w:eastAsia="仿宋_GB2312" w:cs="Times New Roman"/>
          <w:b/>
          <w:bCs/>
          <w:color w:val="000000"/>
          <w:kern w:val="2"/>
          <w:sz w:val="32"/>
          <w:szCs w:val="32"/>
          <w:u w:val="single"/>
          <w:lang w:val="en-US" w:eastAsia="zh-CN" w:bidi="ar-SA"/>
        </w:rPr>
        <w:t xml:space="preserve">                                </w:t>
      </w:r>
    </w:p>
    <w:p w14:paraId="1481BD5B">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rPr>
          <w:rFonts w:hint="eastAsia" w:ascii="仿宋_GB2312" w:hAnsi="Calibri" w:eastAsia="仿宋_GB2312" w:cs="Times New Roman"/>
          <w:b/>
          <w:bCs/>
          <w:color w:val="000000"/>
          <w:kern w:val="2"/>
          <w:sz w:val="32"/>
          <w:szCs w:val="32"/>
          <w:lang w:val="en-US" w:eastAsia="zh-CN" w:bidi="ar-SA"/>
        </w:rPr>
      </w:pPr>
      <w:r>
        <w:rPr>
          <w:rFonts w:hint="eastAsia" w:ascii="仿宋_GB2312" w:hAnsi="Calibri" w:eastAsia="仿宋_GB2312" w:cs="Times New Roman"/>
          <w:b/>
          <w:bCs/>
          <w:color w:val="000000"/>
          <w:kern w:val="2"/>
          <w:sz w:val="32"/>
          <w:szCs w:val="32"/>
          <w:lang w:val="en-US" w:eastAsia="zh-CN" w:bidi="ar-SA"/>
        </w:rPr>
        <w:t>考核日期：</w:t>
      </w:r>
      <w:r>
        <w:rPr>
          <w:rFonts w:hint="eastAsia" w:ascii="仿宋_GB2312" w:hAnsi="Calibri" w:eastAsia="仿宋_GB2312" w:cs="Times New Roman"/>
          <w:b/>
          <w:bCs/>
          <w:color w:val="000000"/>
          <w:kern w:val="2"/>
          <w:sz w:val="32"/>
          <w:szCs w:val="32"/>
          <w:u w:val="single"/>
          <w:lang w:val="en-US" w:eastAsia="zh-CN" w:bidi="ar-SA"/>
        </w:rPr>
        <w:t xml:space="preserve">                                             </w:t>
      </w:r>
    </w:p>
    <w:p w14:paraId="3973CAAA">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黑体" w:hAnsi="黑体" w:eastAsia="黑体" w:cs="黑体"/>
          <w:sz w:val="32"/>
          <w:szCs w:val="32"/>
          <w:lang w:val="en-US" w:eastAsia="zh-CN"/>
        </w:rPr>
      </w:pPr>
      <w:r>
        <w:rPr>
          <w:rFonts w:hint="default" w:ascii="楷体_GB2312" w:hAnsi="楷体_GB2312" w:eastAsia="楷体_GB2312" w:cs="楷体_GB2312"/>
          <w:sz w:val="28"/>
          <w:szCs w:val="28"/>
          <w:lang w:val="en-US" w:eastAsia="zh-CN"/>
        </w:rPr>
        <w:br w:type="page"/>
      </w:r>
      <w:r>
        <w:rPr>
          <w:rFonts w:hint="eastAsia" w:ascii="黑体" w:hAnsi="黑体" w:eastAsia="黑体" w:cs="黑体"/>
          <w:sz w:val="32"/>
          <w:szCs w:val="32"/>
          <w:lang w:val="en-US" w:eastAsia="zh-CN"/>
        </w:rPr>
        <w:t>附件2</w:t>
      </w:r>
    </w:p>
    <w:p w14:paraId="7E630906">
      <w:pPr>
        <w:pStyle w:val="17"/>
        <w:keepNext w:val="0"/>
        <w:keepLines w:val="0"/>
        <w:pageBreakBefore w:val="0"/>
        <w:widowControl w:val="0"/>
        <w:kinsoku/>
        <w:wordWrap/>
        <w:overflowPunct w:val="0"/>
        <w:topLinePunct w:val="0"/>
        <w:bidi w:val="0"/>
        <w:adjustRightInd/>
        <w:snapToGrid/>
        <w:spacing w:line="560" w:lineRule="exact"/>
        <w:ind w:left="0" w:leftChars="0" w:right="0" w:rightChars="0" w:firstLine="0" w:firstLineChars="0"/>
        <w:jc w:val="center"/>
        <w:textAlignment w:val="auto"/>
        <w:outlineLvl w:val="9"/>
        <w:rPr>
          <w:rFonts w:hint="eastAsia" w:ascii="方正小标宋简体" w:eastAsia="方正小标宋简体"/>
          <w:bCs/>
          <w:sz w:val="44"/>
          <w:szCs w:val="44"/>
          <w:lang w:val="en-US" w:eastAsia="zh-CN"/>
        </w:rPr>
      </w:pPr>
      <w:r>
        <w:rPr>
          <w:rFonts w:hint="eastAsia" w:ascii="方正小标宋简体" w:eastAsia="方正小标宋简体"/>
          <w:bCs/>
          <w:sz w:val="44"/>
          <w:szCs w:val="44"/>
          <w:lang w:val="en-US" w:eastAsia="zh-CN"/>
        </w:rPr>
        <w:t>始兴县农村生活污水治理设施运行维护评估表</w:t>
      </w:r>
    </w:p>
    <w:p w14:paraId="0217355B">
      <w:pPr>
        <w:pStyle w:val="17"/>
        <w:keepNext w:val="0"/>
        <w:keepLines w:val="0"/>
        <w:pageBreakBefore w:val="0"/>
        <w:widowControl w:val="0"/>
        <w:kinsoku/>
        <w:wordWrap/>
        <w:overflowPunct w:val="0"/>
        <w:topLinePunct w:val="0"/>
        <w:bidi w:val="0"/>
        <w:adjustRightInd/>
        <w:snapToGrid/>
        <w:spacing w:line="560" w:lineRule="exact"/>
        <w:ind w:left="0" w:leftChars="0" w:right="0" w:rightChars="0" w:firstLine="0" w:firstLineChars="0"/>
        <w:jc w:val="center"/>
        <w:textAlignment w:val="auto"/>
        <w:outlineLvl w:val="9"/>
        <w:rPr>
          <w:rFonts w:hint="eastAsia" w:ascii="方正小标宋简体" w:eastAsia="方正小标宋简体"/>
          <w:bCs/>
          <w:sz w:val="44"/>
          <w:szCs w:val="44"/>
          <w:lang w:val="en-US" w:eastAsia="zh-CN"/>
        </w:rPr>
      </w:pPr>
      <w:r>
        <w:rPr>
          <w:rFonts w:hint="eastAsia" w:ascii="方正小标宋简体" w:eastAsia="方正小标宋简体"/>
          <w:bCs/>
          <w:sz w:val="44"/>
          <w:szCs w:val="44"/>
          <w:lang w:val="en-US" w:eastAsia="zh-CN"/>
        </w:rPr>
        <w:t>（纳厂模式）</w:t>
      </w:r>
    </w:p>
    <w:p w14:paraId="5025D3FA">
      <w:pPr>
        <w:pStyle w:val="4"/>
        <w:keepNext w:val="0"/>
        <w:keepLines w:val="0"/>
        <w:pageBreakBefore w:val="0"/>
        <w:widowControl w:val="0"/>
        <w:numPr>
          <w:ilvl w:val="0"/>
          <w:numId w:val="0"/>
        </w:numPr>
        <w:kinsoku/>
        <w:wordWrap/>
        <w:overflowPunct/>
        <w:topLinePunct w:val="0"/>
        <w:autoSpaceDE/>
        <w:autoSpaceDN/>
        <w:bidi w:val="0"/>
        <w:adjustRightInd/>
        <w:snapToGrid/>
        <w:spacing w:before="157" w:beforeLines="50" w:line="600" w:lineRule="exact"/>
        <w:ind w:left="0" w:leftChars="0" w:firstLine="641" w:firstLineChars="200"/>
        <w:jc w:val="both"/>
        <w:textAlignment w:val="auto"/>
        <w:rPr>
          <w:rFonts w:hint="eastAsia" w:ascii="仿宋_GB2312" w:hAnsi="Calibri" w:eastAsia="仿宋_GB2312" w:cs="Times New Roman"/>
          <w:b/>
          <w:bCs/>
          <w:color w:val="000000"/>
          <w:kern w:val="2"/>
          <w:sz w:val="32"/>
          <w:szCs w:val="32"/>
          <w:lang w:val="en-US" w:eastAsia="zh-CN" w:bidi="ar-SA"/>
        </w:rPr>
      </w:pPr>
      <w:r>
        <w:rPr>
          <w:rFonts w:hint="eastAsia" w:ascii="仿宋_GB2312" w:hAnsi="Calibri" w:eastAsia="仿宋_GB2312" w:cs="Times New Roman"/>
          <w:b/>
          <w:bCs/>
          <w:color w:val="000000"/>
          <w:kern w:val="2"/>
          <w:sz w:val="32"/>
          <w:szCs w:val="32"/>
          <w:u w:val="single"/>
          <w:lang w:val="en-US" w:eastAsia="zh-CN" w:bidi="ar-SA"/>
        </w:rPr>
        <w:t xml:space="preserve">        </w:t>
      </w:r>
      <w:r>
        <w:rPr>
          <w:rFonts w:hint="eastAsia" w:ascii="仿宋_GB2312" w:hAnsi="Calibri" w:eastAsia="仿宋_GB2312" w:cs="Times New Roman"/>
          <w:b/>
          <w:bCs/>
          <w:color w:val="000000"/>
          <w:kern w:val="2"/>
          <w:sz w:val="32"/>
          <w:szCs w:val="32"/>
          <w:lang w:val="en-US" w:eastAsia="zh-CN" w:bidi="ar-SA"/>
        </w:rPr>
        <w:t>镇</w:t>
      </w:r>
      <w:r>
        <w:rPr>
          <w:rFonts w:hint="eastAsia" w:ascii="仿宋_GB2312" w:hAnsi="Calibri" w:eastAsia="仿宋_GB2312" w:cs="Times New Roman"/>
          <w:b/>
          <w:bCs/>
          <w:color w:val="000000"/>
          <w:kern w:val="2"/>
          <w:sz w:val="32"/>
          <w:szCs w:val="32"/>
          <w:u w:val="single"/>
          <w:lang w:val="en-US" w:eastAsia="zh-CN" w:bidi="ar-SA"/>
        </w:rPr>
        <w:t xml:space="preserve">         </w:t>
      </w:r>
      <w:r>
        <w:rPr>
          <w:rFonts w:hint="eastAsia" w:ascii="仿宋_GB2312" w:hAnsi="Calibri" w:eastAsia="仿宋_GB2312" w:cs="Times New Roman"/>
          <w:b/>
          <w:bCs/>
          <w:color w:val="000000"/>
          <w:kern w:val="2"/>
          <w:sz w:val="32"/>
          <w:szCs w:val="32"/>
          <w:lang w:val="en-US" w:eastAsia="zh-CN" w:bidi="ar-SA"/>
        </w:rPr>
        <w:t xml:space="preserve"> 村（居）委</w:t>
      </w:r>
      <w:r>
        <w:rPr>
          <w:rFonts w:hint="eastAsia" w:ascii="仿宋_GB2312" w:hAnsi="Calibri" w:eastAsia="仿宋_GB2312" w:cs="Times New Roman"/>
          <w:b/>
          <w:bCs/>
          <w:color w:val="000000"/>
          <w:kern w:val="2"/>
          <w:sz w:val="32"/>
          <w:szCs w:val="32"/>
          <w:u w:val="single"/>
          <w:lang w:val="en-US" w:eastAsia="zh-CN" w:bidi="ar-SA"/>
        </w:rPr>
        <w:t xml:space="preserve">            </w:t>
      </w:r>
      <w:r>
        <w:rPr>
          <w:rFonts w:hint="eastAsia" w:ascii="仿宋_GB2312" w:hAnsi="Calibri" w:eastAsia="仿宋_GB2312" w:cs="Times New Roman"/>
          <w:b/>
          <w:bCs/>
          <w:color w:val="000000"/>
          <w:kern w:val="2"/>
          <w:sz w:val="32"/>
          <w:szCs w:val="32"/>
          <w:lang w:val="en-US" w:eastAsia="zh-CN" w:bidi="ar-SA"/>
        </w:rPr>
        <w:t>村小组</w:t>
      </w:r>
    </w:p>
    <w:tbl>
      <w:tblPr>
        <w:tblStyle w:val="8"/>
        <w:tblW w:w="499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4"/>
        <w:gridCol w:w="2626"/>
        <w:gridCol w:w="1330"/>
        <w:gridCol w:w="2907"/>
      </w:tblGrid>
      <w:tr w14:paraId="5D17E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blHeader/>
        </w:trPr>
        <w:tc>
          <w:tcPr>
            <w:tcW w:w="1207" w:type="pct"/>
            <w:tcBorders>
              <w:top w:val="single" w:color="000000" w:sz="8" w:space="0"/>
              <w:left w:val="single" w:color="000000" w:sz="8" w:space="0"/>
              <w:bottom w:val="single" w:color="000000" w:sz="8" w:space="0"/>
              <w:right w:val="single" w:color="000000" w:sz="8" w:space="0"/>
            </w:tcBorders>
            <w:noWrap w:val="0"/>
            <w:vAlign w:val="center"/>
          </w:tcPr>
          <w:p w14:paraId="19893A7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楷体_GB2312" w:hAnsi="楷体_GB2312" w:eastAsia="楷体_GB2312" w:cs="楷体_GB2312"/>
                <w:b/>
                <w:bCs/>
                <w:sz w:val="28"/>
                <w:szCs w:val="28"/>
                <w:lang w:val="en-US" w:eastAsia="zh-CN"/>
              </w:rPr>
            </w:pPr>
            <w:r>
              <w:rPr>
                <w:rFonts w:hint="eastAsia" w:ascii="楷体_GB2312" w:hAnsi="楷体_GB2312" w:eastAsia="楷体_GB2312" w:cs="楷体_GB2312"/>
                <w:b/>
                <w:bCs/>
                <w:sz w:val="28"/>
                <w:szCs w:val="28"/>
                <w:lang w:val="en-US" w:eastAsia="zh-CN"/>
              </w:rPr>
              <w:t>评价项目</w:t>
            </w:r>
          </w:p>
        </w:tc>
        <w:tc>
          <w:tcPr>
            <w:tcW w:w="1450" w:type="pct"/>
            <w:tcBorders>
              <w:top w:val="single" w:color="000000" w:sz="8" w:space="0"/>
              <w:left w:val="single" w:color="000000" w:sz="8" w:space="0"/>
              <w:bottom w:val="single" w:color="000000" w:sz="8" w:space="0"/>
              <w:right w:val="single" w:color="000000" w:sz="8" w:space="0"/>
            </w:tcBorders>
            <w:noWrap w:val="0"/>
            <w:vAlign w:val="center"/>
          </w:tcPr>
          <w:p w14:paraId="7E5354F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楷体_GB2312" w:hAnsi="楷体_GB2312" w:eastAsia="楷体_GB2312" w:cs="楷体_GB2312"/>
                <w:b/>
                <w:bCs/>
                <w:sz w:val="28"/>
                <w:szCs w:val="28"/>
                <w:lang w:val="en-US" w:eastAsia="zh-CN"/>
              </w:rPr>
            </w:pPr>
            <w:r>
              <w:rPr>
                <w:rFonts w:hint="eastAsia" w:ascii="楷体_GB2312" w:hAnsi="楷体_GB2312" w:eastAsia="楷体_GB2312" w:cs="楷体_GB2312"/>
                <w:b/>
                <w:bCs/>
                <w:sz w:val="28"/>
                <w:szCs w:val="28"/>
                <w:lang w:val="en-US" w:eastAsia="zh-CN"/>
              </w:rPr>
              <w:t>评分指标</w:t>
            </w:r>
          </w:p>
        </w:tc>
        <w:tc>
          <w:tcPr>
            <w:tcW w:w="735" w:type="pct"/>
            <w:tcBorders>
              <w:top w:val="single" w:color="000000" w:sz="8" w:space="0"/>
              <w:left w:val="single" w:color="000000" w:sz="8" w:space="0"/>
              <w:bottom w:val="single" w:color="000000" w:sz="8" w:space="0"/>
              <w:right w:val="single" w:color="000000" w:sz="8" w:space="0"/>
            </w:tcBorders>
            <w:noWrap w:val="0"/>
            <w:vAlign w:val="center"/>
          </w:tcPr>
          <w:p w14:paraId="4AB8235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楷体_GB2312" w:hAnsi="楷体_GB2312" w:eastAsia="楷体_GB2312" w:cs="楷体_GB2312"/>
                <w:b/>
                <w:bCs/>
                <w:sz w:val="28"/>
                <w:szCs w:val="28"/>
                <w:lang w:val="en-US" w:eastAsia="zh-CN"/>
              </w:rPr>
            </w:pPr>
            <w:r>
              <w:rPr>
                <w:rFonts w:hint="eastAsia" w:ascii="楷体_GB2312" w:hAnsi="楷体_GB2312" w:eastAsia="楷体_GB2312" w:cs="楷体_GB2312"/>
                <w:b/>
                <w:bCs/>
                <w:sz w:val="28"/>
                <w:szCs w:val="28"/>
                <w:lang w:val="en-US" w:eastAsia="zh-CN"/>
              </w:rPr>
              <w:t>得分</w:t>
            </w:r>
          </w:p>
        </w:tc>
        <w:tc>
          <w:tcPr>
            <w:tcW w:w="1606" w:type="pct"/>
            <w:tcBorders>
              <w:top w:val="single" w:color="000000" w:sz="8" w:space="0"/>
              <w:left w:val="single" w:color="000000" w:sz="8" w:space="0"/>
              <w:bottom w:val="single" w:color="000000" w:sz="8" w:space="0"/>
              <w:right w:val="single" w:color="000000" w:sz="8" w:space="0"/>
            </w:tcBorders>
            <w:noWrap w:val="0"/>
            <w:vAlign w:val="center"/>
          </w:tcPr>
          <w:p w14:paraId="0664EB7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楷体_GB2312" w:hAnsi="楷体_GB2312" w:eastAsia="楷体_GB2312" w:cs="楷体_GB2312"/>
                <w:b/>
                <w:bCs/>
                <w:sz w:val="28"/>
                <w:szCs w:val="28"/>
                <w:lang w:val="en-US" w:eastAsia="zh-CN"/>
              </w:rPr>
            </w:pPr>
            <w:r>
              <w:rPr>
                <w:rFonts w:hint="eastAsia" w:ascii="楷体_GB2312" w:hAnsi="楷体_GB2312" w:eastAsia="楷体_GB2312" w:cs="楷体_GB2312"/>
                <w:b/>
                <w:bCs/>
                <w:sz w:val="28"/>
                <w:szCs w:val="28"/>
                <w:lang w:val="en-US" w:eastAsia="zh-CN"/>
              </w:rPr>
              <w:t>扣分（如有）原因</w:t>
            </w:r>
          </w:p>
        </w:tc>
      </w:tr>
      <w:tr w14:paraId="07082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07" w:type="pct"/>
            <w:vMerge w:val="restart"/>
            <w:tcBorders>
              <w:top w:val="single" w:color="000000" w:sz="8" w:space="0"/>
              <w:left w:val="single" w:color="000000" w:sz="8" w:space="0"/>
              <w:right w:val="single" w:color="000000" w:sz="8" w:space="0"/>
            </w:tcBorders>
            <w:noWrap w:val="0"/>
            <w:vAlign w:val="center"/>
          </w:tcPr>
          <w:p w14:paraId="6E356D5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污水收集系统管理（60分）</w:t>
            </w:r>
          </w:p>
        </w:tc>
        <w:tc>
          <w:tcPr>
            <w:tcW w:w="1450" w:type="pct"/>
            <w:tcBorders>
              <w:top w:val="single" w:color="000000" w:sz="8" w:space="0"/>
              <w:left w:val="single" w:color="000000" w:sz="8" w:space="0"/>
              <w:bottom w:val="single" w:color="000000" w:sz="8" w:space="0"/>
              <w:right w:val="single" w:color="000000" w:sz="8" w:space="0"/>
            </w:tcBorders>
            <w:noWrap w:val="0"/>
            <w:vAlign w:val="center"/>
          </w:tcPr>
          <w:p w14:paraId="2361BDC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管道和检查井</w:t>
            </w:r>
          </w:p>
        </w:tc>
        <w:tc>
          <w:tcPr>
            <w:tcW w:w="735" w:type="pct"/>
            <w:tcBorders>
              <w:top w:val="single" w:color="000000" w:sz="8" w:space="0"/>
              <w:left w:val="single" w:color="000000" w:sz="8" w:space="0"/>
              <w:bottom w:val="single" w:color="000000" w:sz="8" w:space="0"/>
              <w:right w:val="single" w:color="000000" w:sz="8" w:space="0"/>
            </w:tcBorders>
            <w:noWrap w:val="0"/>
            <w:vAlign w:val="center"/>
          </w:tcPr>
          <w:p w14:paraId="7B6DC89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606" w:type="pct"/>
            <w:tcBorders>
              <w:top w:val="single" w:color="000000" w:sz="8" w:space="0"/>
              <w:left w:val="single" w:color="000000" w:sz="8" w:space="0"/>
              <w:bottom w:val="single" w:color="000000" w:sz="8" w:space="0"/>
              <w:right w:val="single" w:color="000000" w:sz="8" w:space="0"/>
            </w:tcBorders>
            <w:noWrap w:val="0"/>
            <w:vAlign w:val="center"/>
          </w:tcPr>
          <w:p w14:paraId="6AB08C6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48D20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07" w:type="pct"/>
            <w:vMerge w:val="continue"/>
            <w:tcBorders>
              <w:left w:val="single" w:color="000000" w:sz="8" w:space="0"/>
              <w:right w:val="single" w:color="000000" w:sz="8" w:space="0"/>
            </w:tcBorders>
            <w:noWrap w:val="0"/>
            <w:vAlign w:val="center"/>
          </w:tcPr>
          <w:p w14:paraId="417E668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450" w:type="pct"/>
            <w:tcBorders>
              <w:top w:val="single" w:color="000000" w:sz="8" w:space="0"/>
              <w:left w:val="single" w:color="000000" w:sz="8" w:space="0"/>
              <w:bottom w:val="single" w:color="000000" w:sz="8" w:space="0"/>
              <w:right w:val="single" w:color="000000" w:sz="8" w:space="0"/>
            </w:tcBorders>
            <w:noWrap w:val="0"/>
            <w:vAlign w:val="center"/>
          </w:tcPr>
          <w:p w14:paraId="773D694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井盖等附属设施</w:t>
            </w:r>
          </w:p>
        </w:tc>
        <w:tc>
          <w:tcPr>
            <w:tcW w:w="735" w:type="pct"/>
            <w:tcBorders>
              <w:top w:val="single" w:color="000000" w:sz="8" w:space="0"/>
              <w:left w:val="single" w:color="000000" w:sz="8" w:space="0"/>
              <w:bottom w:val="single" w:color="000000" w:sz="8" w:space="0"/>
              <w:right w:val="single" w:color="000000" w:sz="8" w:space="0"/>
            </w:tcBorders>
            <w:noWrap w:val="0"/>
            <w:vAlign w:val="center"/>
          </w:tcPr>
          <w:p w14:paraId="7D04908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p>
        </w:tc>
        <w:tc>
          <w:tcPr>
            <w:tcW w:w="1606" w:type="pct"/>
            <w:tcBorders>
              <w:top w:val="single" w:color="000000" w:sz="8" w:space="0"/>
              <w:left w:val="single" w:color="000000" w:sz="8" w:space="0"/>
              <w:bottom w:val="single" w:color="000000" w:sz="8" w:space="0"/>
              <w:right w:val="single" w:color="000000" w:sz="8" w:space="0"/>
            </w:tcBorders>
            <w:noWrap w:val="0"/>
            <w:vAlign w:val="center"/>
          </w:tcPr>
          <w:p w14:paraId="3B8FE11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0A003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07" w:type="pct"/>
            <w:vMerge w:val="continue"/>
            <w:tcBorders>
              <w:left w:val="single" w:color="000000" w:sz="8" w:space="0"/>
              <w:bottom w:val="single" w:color="000000" w:sz="8" w:space="0"/>
              <w:right w:val="single" w:color="000000" w:sz="8" w:space="0"/>
            </w:tcBorders>
            <w:noWrap w:val="0"/>
            <w:vAlign w:val="center"/>
          </w:tcPr>
          <w:p w14:paraId="0CE9591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450" w:type="pct"/>
            <w:tcBorders>
              <w:top w:val="single" w:color="000000" w:sz="8" w:space="0"/>
              <w:left w:val="single" w:color="000000" w:sz="8" w:space="0"/>
              <w:bottom w:val="single" w:color="000000" w:sz="8" w:space="0"/>
              <w:right w:val="single" w:color="000000" w:sz="8" w:space="0"/>
            </w:tcBorders>
            <w:noWrap w:val="0"/>
            <w:vAlign w:val="center"/>
          </w:tcPr>
          <w:p w14:paraId="4CCAF3AA">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联通市政管网</w:t>
            </w:r>
          </w:p>
        </w:tc>
        <w:tc>
          <w:tcPr>
            <w:tcW w:w="735" w:type="pct"/>
            <w:tcBorders>
              <w:top w:val="single" w:color="000000" w:sz="8" w:space="0"/>
              <w:left w:val="single" w:color="000000" w:sz="8" w:space="0"/>
              <w:bottom w:val="single" w:color="000000" w:sz="8" w:space="0"/>
              <w:right w:val="single" w:color="000000" w:sz="8" w:space="0"/>
            </w:tcBorders>
            <w:noWrap w:val="0"/>
            <w:vAlign w:val="center"/>
          </w:tcPr>
          <w:p w14:paraId="295067DA">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p>
        </w:tc>
        <w:tc>
          <w:tcPr>
            <w:tcW w:w="1606" w:type="pct"/>
            <w:tcBorders>
              <w:top w:val="single" w:color="000000" w:sz="8" w:space="0"/>
              <w:left w:val="single" w:color="000000" w:sz="8" w:space="0"/>
              <w:bottom w:val="single" w:color="000000" w:sz="8" w:space="0"/>
              <w:right w:val="single" w:color="000000" w:sz="8" w:space="0"/>
            </w:tcBorders>
            <w:noWrap w:val="0"/>
            <w:vAlign w:val="center"/>
          </w:tcPr>
          <w:p w14:paraId="18851D8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51C3A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07" w:type="pct"/>
            <w:vMerge w:val="restart"/>
            <w:tcBorders>
              <w:top w:val="single" w:color="000000" w:sz="8" w:space="0"/>
              <w:left w:val="single" w:color="000000" w:sz="8" w:space="0"/>
              <w:bottom w:val="single" w:color="000000" w:sz="8" w:space="0"/>
              <w:right w:val="single" w:color="000000" w:sz="8" w:space="0"/>
            </w:tcBorders>
            <w:noWrap w:val="0"/>
            <w:vAlign w:val="center"/>
          </w:tcPr>
          <w:p w14:paraId="69EBE09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运营管理</w:t>
            </w:r>
          </w:p>
          <w:p w14:paraId="10C0FC5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（20分）</w:t>
            </w:r>
          </w:p>
        </w:tc>
        <w:tc>
          <w:tcPr>
            <w:tcW w:w="1450" w:type="pct"/>
            <w:tcBorders>
              <w:top w:val="single" w:color="000000" w:sz="8" w:space="0"/>
              <w:left w:val="single" w:color="000000" w:sz="8" w:space="0"/>
              <w:bottom w:val="single" w:color="000000" w:sz="8" w:space="0"/>
              <w:right w:val="single" w:color="000000" w:sz="8" w:space="0"/>
            </w:tcBorders>
            <w:noWrap w:val="0"/>
            <w:vAlign w:val="center"/>
          </w:tcPr>
          <w:p w14:paraId="49A30C8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日常运营管理体系</w:t>
            </w:r>
          </w:p>
        </w:tc>
        <w:tc>
          <w:tcPr>
            <w:tcW w:w="735" w:type="pct"/>
            <w:tcBorders>
              <w:top w:val="single" w:color="000000" w:sz="8" w:space="0"/>
              <w:left w:val="single" w:color="000000" w:sz="8" w:space="0"/>
              <w:bottom w:val="single" w:color="000000" w:sz="8" w:space="0"/>
              <w:right w:val="single" w:color="000000" w:sz="8" w:space="0"/>
            </w:tcBorders>
            <w:noWrap w:val="0"/>
            <w:vAlign w:val="center"/>
          </w:tcPr>
          <w:p w14:paraId="29D8BA3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606" w:type="pct"/>
            <w:tcBorders>
              <w:top w:val="single" w:color="000000" w:sz="8" w:space="0"/>
              <w:left w:val="single" w:color="000000" w:sz="8" w:space="0"/>
              <w:bottom w:val="single" w:color="000000" w:sz="8" w:space="0"/>
              <w:right w:val="single" w:color="000000" w:sz="8" w:space="0"/>
            </w:tcBorders>
            <w:noWrap w:val="0"/>
            <w:vAlign w:val="center"/>
          </w:tcPr>
          <w:p w14:paraId="1289241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7C29A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07" w:type="pct"/>
            <w:vMerge w:val="continue"/>
            <w:tcBorders>
              <w:top w:val="single" w:color="000000" w:sz="8" w:space="0"/>
              <w:left w:val="single" w:color="000000" w:sz="8" w:space="0"/>
              <w:bottom w:val="single" w:color="000000" w:sz="8" w:space="0"/>
              <w:right w:val="single" w:color="000000" w:sz="8" w:space="0"/>
            </w:tcBorders>
            <w:noWrap w:val="0"/>
            <w:vAlign w:val="center"/>
          </w:tcPr>
          <w:p w14:paraId="4953740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450" w:type="pct"/>
            <w:tcBorders>
              <w:top w:val="single" w:color="000000" w:sz="8" w:space="0"/>
              <w:left w:val="single" w:color="000000" w:sz="8" w:space="0"/>
              <w:bottom w:val="single" w:color="000000" w:sz="8" w:space="0"/>
              <w:right w:val="single" w:color="000000" w:sz="8" w:space="0"/>
            </w:tcBorders>
            <w:noWrap w:val="0"/>
            <w:vAlign w:val="center"/>
          </w:tcPr>
          <w:p w14:paraId="32798DF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运营记录</w:t>
            </w:r>
          </w:p>
        </w:tc>
        <w:tc>
          <w:tcPr>
            <w:tcW w:w="735" w:type="pct"/>
            <w:tcBorders>
              <w:top w:val="single" w:color="000000" w:sz="8" w:space="0"/>
              <w:left w:val="single" w:color="000000" w:sz="8" w:space="0"/>
              <w:bottom w:val="single" w:color="000000" w:sz="8" w:space="0"/>
              <w:right w:val="single" w:color="000000" w:sz="8" w:space="0"/>
            </w:tcBorders>
            <w:noWrap w:val="0"/>
            <w:vAlign w:val="center"/>
          </w:tcPr>
          <w:p w14:paraId="3A9AB16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606" w:type="pct"/>
            <w:tcBorders>
              <w:top w:val="single" w:color="000000" w:sz="8" w:space="0"/>
              <w:left w:val="single" w:color="000000" w:sz="8" w:space="0"/>
              <w:bottom w:val="single" w:color="000000" w:sz="8" w:space="0"/>
              <w:right w:val="single" w:color="000000" w:sz="8" w:space="0"/>
            </w:tcBorders>
            <w:noWrap w:val="0"/>
            <w:vAlign w:val="center"/>
          </w:tcPr>
          <w:p w14:paraId="42FA894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1723F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07" w:type="pct"/>
            <w:vMerge w:val="continue"/>
            <w:tcBorders>
              <w:top w:val="single" w:color="000000" w:sz="8" w:space="0"/>
              <w:left w:val="single" w:color="000000" w:sz="8" w:space="0"/>
              <w:bottom w:val="single" w:color="000000" w:sz="8" w:space="0"/>
              <w:right w:val="single" w:color="000000" w:sz="8" w:space="0"/>
            </w:tcBorders>
            <w:noWrap w:val="0"/>
            <w:vAlign w:val="center"/>
          </w:tcPr>
          <w:p w14:paraId="372201CA">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450" w:type="pct"/>
            <w:tcBorders>
              <w:top w:val="single" w:color="000000" w:sz="8" w:space="0"/>
              <w:left w:val="single" w:color="000000" w:sz="8" w:space="0"/>
              <w:bottom w:val="single" w:color="000000" w:sz="8" w:space="0"/>
              <w:right w:val="single" w:color="000000" w:sz="8" w:space="0"/>
            </w:tcBorders>
            <w:noWrap w:val="0"/>
            <w:vAlign w:val="center"/>
          </w:tcPr>
          <w:p w14:paraId="75CF1AF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维修及保养记录</w:t>
            </w:r>
          </w:p>
        </w:tc>
        <w:tc>
          <w:tcPr>
            <w:tcW w:w="735" w:type="pct"/>
            <w:tcBorders>
              <w:top w:val="single" w:color="000000" w:sz="8" w:space="0"/>
              <w:left w:val="single" w:color="000000" w:sz="8" w:space="0"/>
              <w:bottom w:val="single" w:color="000000" w:sz="8" w:space="0"/>
              <w:right w:val="single" w:color="000000" w:sz="8" w:space="0"/>
            </w:tcBorders>
            <w:noWrap w:val="0"/>
            <w:vAlign w:val="center"/>
          </w:tcPr>
          <w:p w14:paraId="47E54E7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606" w:type="pct"/>
            <w:tcBorders>
              <w:top w:val="single" w:color="000000" w:sz="8" w:space="0"/>
              <w:left w:val="single" w:color="000000" w:sz="8" w:space="0"/>
              <w:bottom w:val="single" w:color="000000" w:sz="8" w:space="0"/>
              <w:right w:val="single" w:color="000000" w:sz="8" w:space="0"/>
            </w:tcBorders>
            <w:noWrap w:val="0"/>
            <w:vAlign w:val="center"/>
          </w:tcPr>
          <w:p w14:paraId="15F4255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234AF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07" w:type="pct"/>
            <w:tcBorders>
              <w:top w:val="single" w:color="000000" w:sz="8" w:space="0"/>
              <w:left w:val="single" w:color="000000" w:sz="8" w:space="0"/>
              <w:bottom w:val="single" w:color="000000" w:sz="8" w:space="0"/>
              <w:right w:val="single" w:color="000000" w:sz="8" w:space="0"/>
            </w:tcBorders>
            <w:noWrap w:val="0"/>
            <w:vAlign w:val="center"/>
          </w:tcPr>
          <w:p w14:paraId="3E95D29A">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综合评价</w:t>
            </w:r>
          </w:p>
          <w:p w14:paraId="26258C4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（一票否决项）</w:t>
            </w:r>
          </w:p>
        </w:tc>
        <w:tc>
          <w:tcPr>
            <w:tcW w:w="1450" w:type="pct"/>
            <w:tcBorders>
              <w:top w:val="single" w:color="000000" w:sz="8" w:space="0"/>
              <w:left w:val="single" w:color="000000" w:sz="8" w:space="0"/>
              <w:bottom w:val="single" w:color="000000" w:sz="8" w:space="0"/>
              <w:right w:val="single" w:color="000000" w:sz="8" w:space="0"/>
            </w:tcBorders>
            <w:noWrap w:val="0"/>
            <w:vAlign w:val="center"/>
          </w:tcPr>
          <w:p w14:paraId="4BB4205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负面通报及投诉</w:t>
            </w:r>
          </w:p>
        </w:tc>
        <w:tc>
          <w:tcPr>
            <w:tcW w:w="735" w:type="pct"/>
            <w:tcBorders>
              <w:top w:val="single" w:color="000000" w:sz="8" w:space="0"/>
              <w:left w:val="single" w:color="000000" w:sz="8" w:space="0"/>
              <w:bottom w:val="single" w:color="000000" w:sz="8" w:space="0"/>
              <w:right w:val="single" w:color="000000" w:sz="8" w:space="0"/>
            </w:tcBorders>
            <w:noWrap w:val="0"/>
            <w:vAlign w:val="center"/>
          </w:tcPr>
          <w:p w14:paraId="385F770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p>
        </w:tc>
        <w:tc>
          <w:tcPr>
            <w:tcW w:w="1606" w:type="pct"/>
            <w:tcBorders>
              <w:top w:val="single" w:color="000000" w:sz="8" w:space="0"/>
              <w:left w:val="single" w:color="000000" w:sz="8" w:space="0"/>
              <w:bottom w:val="single" w:color="000000" w:sz="8" w:space="0"/>
              <w:right w:val="single" w:color="000000" w:sz="8" w:space="0"/>
            </w:tcBorders>
            <w:noWrap w:val="0"/>
            <w:vAlign w:val="center"/>
          </w:tcPr>
          <w:p w14:paraId="329E04B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2B9F2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658" w:type="pct"/>
            <w:gridSpan w:val="2"/>
            <w:tcBorders>
              <w:top w:val="single" w:color="000000" w:sz="8" w:space="0"/>
              <w:left w:val="single" w:color="000000" w:sz="8" w:space="0"/>
              <w:bottom w:val="single" w:color="000000" w:sz="8" w:space="0"/>
              <w:right w:val="single" w:color="000000" w:sz="8" w:space="0"/>
            </w:tcBorders>
            <w:noWrap w:val="0"/>
            <w:vAlign w:val="center"/>
          </w:tcPr>
          <w:p w14:paraId="7EF6E52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合计</w:t>
            </w:r>
          </w:p>
        </w:tc>
        <w:tc>
          <w:tcPr>
            <w:tcW w:w="735" w:type="pct"/>
            <w:tcBorders>
              <w:top w:val="single" w:color="000000" w:sz="8" w:space="0"/>
              <w:left w:val="single" w:color="000000" w:sz="8" w:space="0"/>
              <w:bottom w:val="single" w:color="000000" w:sz="8" w:space="0"/>
              <w:right w:val="single" w:color="000000" w:sz="8" w:space="0"/>
            </w:tcBorders>
            <w:noWrap w:val="0"/>
            <w:vAlign w:val="center"/>
          </w:tcPr>
          <w:p w14:paraId="021A0B1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b/>
                <w:bCs/>
                <w:sz w:val="28"/>
                <w:szCs w:val="28"/>
                <w:lang w:val="en-US" w:eastAsia="zh-CN"/>
              </w:rPr>
            </w:pPr>
          </w:p>
        </w:tc>
        <w:tc>
          <w:tcPr>
            <w:tcW w:w="1606" w:type="pct"/>
            <w:tcBorders>
              <w:top w:val="single" w:color="000000" w:sz="8" w:space="0"/>
              <w:left w:val="single" w:color="000000" w:sz="8" w:space="0"/>
              <w:bottom w:val="single" w:color="000000" w:sz="8" w:space="0"/>
              <w:right w:val="single" w:color="000000" w:sz="8" w:space="0"/>
            </w:tcBorders>
            <w:noWrap w:val="0"/>
            <w:vAlign w:val="center"/>
          </w:tcPr>
          <w:p w14:paraId="6C80131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val="0"/>
                <w:bCs w:val="0"/>
                <w:sz w:val="28"/>
                <w:szCs w:val="28"/>
                <w:lang w:val="en-US" w:eastAsia="zh-CN"/>
              </w:rPr>
              <w:t>/</w:t>
            </w:r>
          </w:p>
        </w:tc>
      </w:tr>
    </w:tbl>
    <w:p w14:paraId="0BB38744">
      <w:pPr>
        <w:pStyle w:val="4"/>
        <w:keepNext w:val="0"/>
        <w:keepLines w:val="0"/>
        <w:pageBreakBefore w:val="0"/>
        <w:widowControl w:val="0"/>
        <w:numPr>
          <w:ilvl w:val="0"/>
          <w:numId w:val="0"/>
        </w:numPr>
        <w:kinsoku/>
        <w:wordWrap/>
        <w:overflowPunct/>
        <w:topLinePunct w:val="0"/>
        <w:autoSpaceDE/>
        <w:autoSpaceDN/>
        <w:bidi w:val="0"/>
        <w:adjustRightInd/>
        <w:snapToGrid/>
        <w:spacing w:before="157" w:beforeLines="50" w:line="600" w:lineRule="exact"/>
        <w:jc w:val="both"/>
        <w:textAlignment w:val="auto"/>
        <w:rPr>
          <w:rFonts w:hint="eastAsia" w:ascii="仿宋_GB2312" w:hAnsi="Calibri" w:eastAsia="仿宋_GB2312" w:cs="Times New Roman"/>
          <w:b/>
          <w:bCs/>
          <w:color w:val="000000"/>
          <w:kern w:val="2"/>
          <w:sz w:val="32"/>
          <w:szCs w:val="32"/>
          <w:lang w:val="en-US" w:eastAsia="zh-CN" w:bidi="ar-SA"/>
        </w:rPr>
      </w:pPr>
      <w:r>
        <w:rPr>
          <w:rFonts w:hint="eastAsia" w:ascii="仿宋_GB2312" w:hAnsi="Calibri" w:eastAsia="仿宋_GB2312" w:cs="Times New Roman"/>
          <w:b/>
          <w:bCs/>
          <w:color w:val="000000"/>
          <w:kern w:val="2"/>
          <w:sz w:val="32"/>
          <w:szCs w:val="32"/>
          <w:lang w:val="en-US" w:eastAsia="zh-CN" w:bidi="ar-SA"/>
        </w:rPr>
        <w:t>考核组签名（至少2人）：</w:t>
      </w:r>
      <w:r>
        <w:rPr>
          <w:rFonts w:hint="eastAsia" w:ascii="仿宋_GB2312" w:hAnsi="Calibri" w:eastAsia="仿宋_GB2312" w:cs="Times New Roman"/>
          <w:b/>
          <w:bCs/>
          <w:color w:val="000000"/>
          <w:kern w:val="2"/>
          <w:sz w:val="32"/>
          <w:szCs w:val="32"/>
          <w:u w:val="single"/>
          <w:lang w:val="en-US" w:eastAsia="zh-CN" w:bidi="ar-SA"/>
        </w:rPr>
        <w:t xml:space="preserve">                                    </w:t>
      </w:r>
    </w:p>
    <w:p w14:paraId="1243D470">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rPr>
          <w:rFonts w:hint="eastAsia" w:ascii="仿宋_GB2312" w:hAnsi="Calibri" w:eastAsia="仿宋_GB2312" w:cs="Times New Roman"/>
          <w:b/>
          <w:bCs/>
          <w:color w:val="000000"/>
          <w:kern w:val="2"/>
          <w:sz w:val="32"/>
          <w:szCs w:val="32"/>
          <w:lang w:val="en-US" w:eastAsia="zh-CN" w:bidi="ar-SA"/>
        </w:rPr>
      </w:pPr>
      <w:r>
        <w:rPr>
          <w:rFonts w:hint="eastAsia" w:ascii="仿宋_GB2312" w:hAnsi="Calibri" w:eastAsia="仿宋_GB2312" w:cs="Times New Roman"/>
          <w:b/>
          <w:bCs/>
          <w:color w:val="000000"/>
          <w:kern w:val="2"/>
          <w:sz w:val="32"/>
          <w:szCs w:val="32"/>
          <w:lang w:val="en-US" w:eastAsia="zh-CN" w:bidi="ar-SA"/>
        </w:rPr>
        <w:t>考核日期：</w:t>
      </w:r>
      <w:r>
        <w:rPr>
          <w:rFonts w:hint="eastAsia" w:ascii="仿宋_GB2312" w:hAnsi="Calibri" w:eastAsia="仿宋_GB2312" w:cs="Times New Roman"/>
          <w:b/>
          <w:bCs/>
          <w:color w:val="000000"/>
          <w:kern w:val="2"/>
          <w:sz w:val="32"/>
          <w:szCs w:val="32"/>
          <w:u w:val="single"/>
          <w:lang w:val="en-US" w:eastAsia="zh-CN" w:bidi="ar-SA"/>
        </w:rPr>
        <w:t xml:space="preserve">                                                  </w:t>
      </w:r>
    </w:p>
    <w:p w14:paraId="50F57055">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黑体" w:hAnsi="黑体" w:eastAsia="黑体" w:cs="黑体"/>
          <w:sz w:val="32"/>
          <w:szCs w:val="32"/>
          <w:lang w:val="en-US" w:eastAsia="zh-CN"/>
        </w:rPr>
      </w:pPr>
      <w:r>
        <w:rPr>
          <w:rFonts w:hint="default" w:ascii="楷体_GB2312" w:hAnsi="楷体_GB2312" w:eastAsia="楷体_GB2312" w:cs="楷体_GB2312"/>
          <w:sz w:val="28"/>
          <w:szCs w:val="28"/>
          <w:lang w:val="en-US" w:eastAsia="zh-CN"/>
        </w:rPr>
        <w:br w:type="page"/>
      </w:r>
      <w:r>
        <w:rPr>
          <w:rFonts w:hint="eastAsia" w:ascii="黑体" w:hAnsi="黑体" w:eastAsia="黑体" w:cs="黑体"/>
          <w:sz w:val="32"/>
          <w:szCs w:val="32"/>
          <w:lang w:val="en-US" w:eastAsia="zh-CN"/>
        </w:rPr>
        <w:t>附件2</w:t>
      </w:r>
    </w:p>
    <w:p w14:paraId="3AC94F00">
      <w:pPr>
        <w:pStyle w:val="17"/>
        <w:keepNext w:val="0"/>
        <w:keepLines w:val="0"/>
        <w:pageBreakBefore w:val="0"/>
        <w:widowControl w:val="0"/>
        <w:kinsoku/>
        <w:wordWrap/>
        <w:overflowPunct w:val="0"/>
        <w:topLinePunct w:val="0"/>
        <w:bidi w:val="0"/>
        <w:adjustRightInd/>
        <w:snapToGrid/>
        <w:spacing w:line="560" w:lineRule="exact"/>
        <w:ind w:left="0" w:leftChars="0" w:right="0" w:rightChars="0" w:firstLine="0" w:firstLineChars="0"/>
        <w:jc w:val="center"/>
        <w:textAlignment w:val="auto"/>
        <w:outlineLvl w:val="9"/>
        <w:rPr>
          <w:rFonts w:hint="eastAsia" w:ascii="方正小标宋简体" w:eastAsia="方正小标宋简体"/>
          <w:bCs/>
          <w:sz w:val="44"/>
          <w:szCs w:val="44"/>
          <w:lang w:val="en-US" w:eastAsia="zh-CN"/>
        </w:rPr>
      </w:pPr>
      <w:r>
        <w:rPr>
          <w:rFonts w:hint="eastAsia" w:ascii="方正小标宋简体" w:eastAsia="方正小标宋简体"/>
          <w:bCs/>
          <w:sz w:val="44"/>
          <w:szCs w:val="44"/>
          <w:lang w:val="en-US" w:eastAsia="zh-CN"/>
        </w:rPr>
        <w:t>始兴县农村生活污水治理设施运行维护评估表</w:t>
      </w:r>
    </w:p>
    <w:p w14:paraId="4894639F">
      <w:pPr>
        <w:pStyle w:val="17"/>
        <w:keepNext w:val="0"/>
        <w:keepLines w:val="0"/>
        <w:pageBreakBefore w:val="0"/>
        <w:widowControl w:val="0"/>
        <w:kinsoku/>
        <w:wordWrap/>
        <w:overflowPunct w:val="0"/>
        <w:topLinePunct w:val="0"/>
        <w:bidi w:val="0"/>
        <w:adjustRightInd/>
        <w:snapToGrid/>
        <w:spacing w:line="560" w:lineRule="exact"/>
        <w:ind w:left="0" w:leftChars="0" w:right="0" w:rightChars="0" w:firstLine="0" w:firstLineChars="0"/>
        <w:jc w:val="center"/>
        <w:textAlignment w:val="auto"/>
        <w:outlineLvl w:val="9"/>
        <w:rPr>
          <w:rFonts w:hint="eastAsia" w:ascii="方正小标宋简体" w:eastAsia="方正小标宋简体"/>
          <w:bCs/>
          <w:sz w:val="44"/>
          <w:szCs w:val="44"/>
          <w:lang w:val="en-US" w:eastAsia="zh-CN"/>
        </w:rPr>
      </w:pPr>
      <w:r>
        <w:rPr>
          <w:rFonts w:hint="eastAsia" w:ascii="方正小标宋简体" w:eastAsia="方正小标宋简体"/>
          <w:bCs/>
          <w:sz w:val="44"/>
          <w:szCs w:val="44"/>
          <w:lang w:val="en-US" w:eastAsia="zh-CN"/>
        </w:rPr>
        <w:t>（资源化利用模式）</w:t>
      </w:r>
    </w:p>
    <w:p w14:paraId="14E81857">
      <w:pPr>
        <w:pStyle w:val="4"/>
        <w:keepNext w:val="0"/>
        <w:keepLines w:val="0"/>
        <w:pageBreakBefore w:val="0"/>
        <w:widowControl w:val="0"/>
        <w:numPr>
          <w:ilvl w:val="0"/>
          <w:numId w:val="0"/>
        </w:numPr>
        <w:kinsoku/>
        <w:wordWrap/>
        <w:overflowPunct/>
        <w:topLinePunct w:val="0"/>
        <w:autoSpaceDE/>
        <w:autoSpaceDN/>
        <w:bidi w:val="0"/>
        <w:adjustRightInd/>
        <w:snapToGrid/>
        <w:spacing w:before="157" w:beforeLines="50" w:line="600" w:lineRule="exact"/>
        <w:ind w:left="0" w:leftChars="0" w:firstLine="641" w:firstLineChars="200"/>
        <w:jc w:val="both"/>
        <w:textAlignment w:val="auto"/>
        <w:rPr>
          <w:rFonts w:hint="eastAsia" w:ascii="仿宋_GB2312" w:hAnsi="Calibri" w:eastAsia="仿宋_GB2312" w:cs="Times New Roman"/>
          <w:b/>
          <w:bCs/>
          <w:color w:val="000000"/>
          <w:kern w:val="2"/>
          <w:sz w:val="32"/>
          <w:szCs w:val="32"/>
          <w:lang w:val="en-US" w:eastAsia="zh-CN" w:bidi="ar-SA"/>
        </w:rPr>
      </w:pPr>
      <w:r>
        <w:rPr>
          <w:rFonts w:hint="eastAsia" w:ascii="仿宋_GB2312" w:hAnsi="Calibri" w:eastAsia="仿宋_GB2312" w:cs="Times New Roman"/>
          <w:b/>
          <w:bCs/>
          <w:color w:val="000000"/>
          <w:kern w:val="2"/>
          <w:sz w:val="32"/>
          <w:szCs w:val="32"/>
          <w:u w:val="single"/>
          <w:lang w:val="en-US" w:eastAsia="zh-CN" w:bidi="ar-SA"/>
        </w:rPr>
        <w:t xml:space="preserve">        </w:t>
      </w:r>
      <w:r>
        <w:rPr>
          <w:rFonts w:hint="eastAsia" w:ascii="仿宋_GB2312" w:hAnsi="Calibri" w:eastAsia="仿宋_GB2312" w:cs="Times New Roman"/>
          <w:b/>
          <w:bCs/>
          <w:color w:val="000000"/>
          <w:kern w:val="2"/>
          <w:sz w:val="32"/>
          <w:szCs w:val="32"/>
          <w:lang w:val="en-US" w:eastAsia="zh-CN" w:bidi="ar-SA"/>
        </w:rPr>
        <w:t>镇</w:t>
      </w:r>
      <w:r>
        <w:rPr>
          <w:rFonts w:hint="eastAsia" w:ascii="仿宋_GB2312" w:hAnsi="Calibri" w:eastAsia="仿宋_GB2312" w:cs="Times New Roman"/>
          <w:b/>
          <w:bCs/>
          <w:color w:val="000000"/>
          <w:kern w:val="2"/>
          <w:sz w:val="32"/>
          <w:szCs w:val="32"/>
          <w:u w:val="single"/>
          <w:lang w:val="en-US" w:eastAsia="zh-CN" w:bidi="ar-SA"/>
        </w:rPr>
        <w:t xml:space="preserve">         </w:t>
      </w:r>
      <w:r>
        <w:rPr>
          <w:rFonts w:hint="eastAsia" w:ascii="仿宋_GB2312" w:hAnsi="Calibri" w:eastAsia="仿宋_GB2312" w:cs="Times New Roman"/>
          <w:b/>
          <w:bCs/>
          <w:color w:val="000000"/>
          <w:kern w:val="2"/>
          <w:sz w:val="32"/>
          <w:szCs w:val="32"/>
          <w:lang w:val="en-US" w:eastAsia="zh-CN" w:bidi="ar-SA"/>
        </w:rPr>
        <w:t xml:space="preserve"> 村（居）委</w:t>
      </w:r>
      <w:r>
        <w:rPr>
          <w:rFonts w:hint="eastAsia" w:ascii="仿宋_GB2312" w:hAnsi="Calibri" w:eastAsia="仿宋_GB2312" w:cs="Times New Roman"/>
          <w:b/>
          <w:bCs/>
          <w:color w:val="000000"/>
          <w:kern w:val="2"/>
          <w:sz w:val="32"/>
          <w:szCs w:val="32"/>
          <w:u w:val="single"/>
          <w:lang w:val="en-US" w:eastAsia="zh-CN" w:bidi="ar-SA"/>
        </w:rPr>
        <w:t xml:space="preserve">            </w:t>
      </w:r>
      <w:r>
        <w:rPr>
          <w:rFonts w:hint="eastAsia" w:ascii="仿宋_GB2312" w:hAnsi="Calibri" w:eastAsia="仿宋_GB2312" w:cs="Times New Roman"/>
          <w:b/>
          <w:bCs/>
          <w:color w:val="000000"/>
          <w:kern w:val="2"/>
          <w:sz w:val="32"/>
          <w:szCs w:val="32"/>
          <w:lang w:val="en-US" w:eastAsia="zh-CN" w:bidi="ar-SA"/>
        </w:rPr>
        <w:t>村小组</w:t>
      </w:r>
    </w:p>
    <w:tbl>
      <w:tblPr>
        <w:tblStyle w:val="8"/>
        <w:tblW w:w="499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2"/>
        <w:gridCol w:w="2627"/>
        <w:gridCol w:w="1328"/>
        <w:gridCol w:w="2906"/>
      </w:tblGrid>
      <w:tr w14:paraId="5E015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blHeader/>
        </w:trPr>
        <w:tc>
          <w:tcPr>
            <w:tcW w:w="1206" w:type="pct"/>
            <w:tcBorders>
              <w:top w:val="single" w:color="000000" w:sz="8" w:space="0"/>
              <w:left w:val="single" w:color="000000" w:sz="8" w:space="0"/>
              <w:bottom w:val="single" w:color="000000" w:sz="8" w:space="0"/>
              <w:right w:val="single" w:color="000000" w:sz="8" w:space="0"/>
            </w:tcBorders>
            <w:noWrap w:val="0"/>
            <w:vAlign w:val="center"/>
          </w:tcPr>
          <w:p w14:paraId="4E6B150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楷体_GB2312" w:hAnsi="楷体_GB2312" w:eastAsia="楷体_GB2312" w:cs="楷体_GB2312"/>
                <w:b/>
                <w:bCs/>
                <w:sz w:val="28"/>
                <w:szCs w:val="28"/>
                <w:lang w:val="en-US" w:eastAsia="zh-CN"/>
              </w:rPr>
            </w:pPr>
            <w:r>
              <w:rPr>
                <w:rFonts w:hint="eastAsia" w:ascii="楷体_GB2312" w:hAnsi="楷体_GB2312" w:eastAsia="楷体_GB2312" w:cs="楷体_GB2312"/>
                <w:b/>
                <w:bCs/>
                <w:sz w:val="28"/>
                <w:szCs w:val="28"/>
                <w:lang w:val="en-US" w:eastAsia="zh-CN"/>
              </w:rPr>
              <w:t>评价项目</w:t>
            </w:r>
          </w:p>
        </w:tc>
        <w:tc>
          <w:tcPr>
            <w:tcW w:w="1451" w:type="pct"/>
            <w:tcBorders>
              <w:top w:val="single" w:color="000000" w:sz="8" w:space="0"/>
              <w:left w:val="single" w:color="000000" w:sz="8" w:space="0"/>
              <w:bottom w:val="single" w:color="000000" w:sz="8" w:space="0"/>
              <w:right w:val="single" w:color="000000" w:sz="8" w:space="0"/>
            </w:tcBorders>
            <w:noWrap w:val="0"/>
            <w:vAlign w:val="center"/>
          </w:tcPr>
          <w:p w14:paraId="261B92C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楷体_GB2312" w:hAnsi="楷体_GB2312" w:eastAsia="楷体_GB2312" w:cs="楷体_GB2312"/>
                <w:b/>
                <w:bCs/>
                <w:sz w:val="28"/>
                <w:szCs w:val="28"/>
                <w:lang w:val="en-US" w:eastAsia="zh-CN"/>
              </w:rPr>
            </w:pPr>
            <w:r>
              <w:rPr>
                <w:rFonts w:hint="eastAsia" w:ascii="楷体_GB2312" w:hAnsi="楷体_GB2312" w:eastAsia="楷体_GB2312" w:cs="楷体_GB2312"/>
                <w:b/>
                <w:bCs/>
                <w:sz w:val="28"/>
                <w:szCs w:val="28"/>
                <w:lang w:val="en-US" w:eastAsia="zh-CN"/>
              </w:rPr>
              <w:t>评分指标</w:t>
            </w:r>
          </w:p>
        </w:tc>
        <w:tc>
          <w:tcPr>
            <w:tcW w:w="734" w:type="pct"/>
            <w:tcBorders>
              <w:top w:val="single" w:color="000000" w:sz="8" w:space="0"/>
              <w:left w:val="single" w:color="000000" w:sz="8" w:space="0"/>
              <w:bottom w:val="single" w:color="000000" w:sz="8" w:space="0"/>
              <w:right w:val="single" w:color="000000" w:sz="8" w:space="0"/>
            </w:tcBorders>
            <w:noWrap w:val="0"/>
            <w:vAlign w:val="center"/>
          </w:tcPr>
          <w:p w14:paraId="6863678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楷体_GB2312" w:hAnsi="楷体_GB2312" w:eastAsia="楷体_GB2312" w:cs="楷体_GB2312"/>
                <w:b/>
                <w:bCs/>
                <w:sz w:val="28"/>
                <w:szCs w:val="28"/>
                <w:lang w:val="en-US" w:eastAsia="zh-CN"/>
              </w:rPr>
            </w:pPr>
            <w:r>
              <w:rPr>
                <w:rFonts w:hint="eastAsia" w:ascii="楷体_GB2312" w:hAnsi="楷体_GB2312" w:eastAsia="楷体_GB2312" w:cs="楷体_GB2312"/>
                <w:b/>
                <w:bCs/>
                <w:sz w:val="28"/>
                <w:szCs w:val="28"/>
                <w:lang w:val="en-US" w:eastAsia="zh-CN"/>
              </w:rPr>
              <w:t>得分</w:t>
            </w:r>
          </w:p>
        </w:tc>
        <w:tc>
          <w:tcPr>
            <w:tcW w:w="1606" w:type="pct"/>
            <w:tcBorders>
              <w:top w:val="single" w:color="000000" w:sz="8" w:space="0"/>
              <w:left w:val="single" w:color="000000" w:sz="8" w:space="0"/>
              <w:bottom w:val="single" w:color="000000" w:sz="8" w:space="0"/>
              <w:right w:val="single" w:color="000000" w:sz="8" w:space="0"/>
            </w:tcBorders>
            <w:noWrap w:val="0"/>
            <w:vAlign w:val="center"/>
          </w:tcPr>
          <w:p w14:paraId="4A567E4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楷体_GB2312" w:hAnsi="楷体_GB2312" w:eastAsia="楷体_GB2312" w:cs="楷体_GB2312"/>
                <w:b/>
                <w:bCs/>
                <w:sz w:val="28"/>
                <w:szCs w:val="28"/>
                <w:lang w:val="en-US" w:eastAsia="zh-CN"/>
              </w:rPr>
            </w:pPr>
            <w:r>
              <w:rPr>
                <w:rFonts w:hint="eastAsia" w:ascii="楷体_GB2312" w:hAnsi="楷体_GB2312" w:eastAsia="楷体_GB2312" w:cs="楷体_GB2312"/>
                <w:b/>
                <w:bCs/>
                <w:sz w:val="28"/>
                <w:szCs w:val="28"/>
                <w:lang w:val="en-US" w:eastAsia="zh-CN"/>
              </w:rPr>
              <w:t>扣分（如有）原因</w:t>
            </w:r>
          </w:p>
        </w:tc>
      </w:tr>
      <w:tr w14:paraId="2A121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06" w:type="pct"/>
            <w:vMerge w:val="restart"/>
            <w:tcBorders>
              <w:top w:val="single" w:color="000000" w:sz="8" w:space="0"/>
              <w:left w:val="single" w:color="000000" w:sz="8" w:space="0"/>
              <w:right w:val="single" w:color="000000" w:sz="8" w:space="0"/>
            </w:tcBorders>
            <w:noWrap w:val="0"/>
            <w:vAlign w:val="center"/>
          </w:tcPr>
          <w:p w14:paraId="0D21E0B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污水收集系统管理（20分）</w:t>
            </w:r>
          </w:p>
        </w:tc>
        <w:tc>
          <w:tcPr>
            <w:tcW w:w="1451" w:type="pct"/>
            <w:tcBorders>
              <w:top w:val="single" w:color="000000" w:sz="8" w:space="0"/>
              <w:left w:val="single" w:color="000000" w:sz="8" w:space="0"/>
              <w:bottom w:val="single" w:color="000000" w:sz="8" w:space="0"/>
              <w:right w:val="single" w:color="000000" w:sz="8" w:space="0"/>
            </w:tcBorders>
            <w:noWrap w:val="0"/>
            <w:vAlign w:val="center"/>
          </w:tcPr>
          <w:p w14:paraId="3B02A5A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管道和检查井</w:t>
            </w:r>
          </w:p>
        </w:tc>
        <w:tc>
          <w:tcPr>
            <w:tcW w:w="734" w:type="pct"/>
            <w:tcBorders>
              <w:top w:val="single" w:color="000000" w:sz="8" w:space="0"/>
              <w:left w:val="single" w:color="000000" w:sz="8" w:space="0"/>
              <w:bottom w:val="single" w:color="000000" w:sz="8" w:space="0"/>
              <w:right w:val="single" w:color="000000" w:sz="8" w:space="0"/>
            </w:tcBorders>
            <w:noWrap w:val="0"/>
            <w:vAlign w:val="center"/>
          </w:tcPr>
          <w:p w14:paraId="59E3664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606" w:type="pct"/>
            <w:tcBorders>
              <w:top w:val="single" w:color="000000" w:sz="8" w:space="0"/>
              <w:left w:val="single" w:color="000000" w:sz="8" w:space="0"/>
              <w:bottom w:val="single" w:color="000000" w:sz="8" w:space="0"/>
              <w:right w:val="single" w:color="000000" w:sz="8" w:space="0"/>
            </w:tcBorders>
            <w:noWrap w:val="0"/>
            <w:vAlign w:val="center"/>
          </w:tcPr>
          <w:p w14:paraId="3468E0C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03295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06" w:type="pct"/>
            <w:vMerge w:val="continue"/>
            <w:tcBorders>
              <w:left w:val="single" w:color="000000" w:sz="8" w:space="0"/>
              <w:right w:val="single" w:color="000000" w:sz="8" w:space="0"/>
            </w:tcBorders>
            <w:noWrap w:val="0"/>
            <w:vAlign w:val="center"/>
          </w:tcPr>
          <w:p w14:paraId="36CECCE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451" w:type="pct"/>
            <w:tcBorders>
              <w:top w:val="single" w:color="000000" w:sz="8" w:space="0"/>
              <w:left w:val="single" w:color="000000" w:sz="8" w:space="0"/>
              <w:bottom w:val="single" w:color="000000" w:sz="8" w:space="0"/>
              <w:right w:val="single" w:color="000000" w:sz="8" w:space="0"/>
            </w:tcBorders>
            <w:noWrap w:val="0"/>
            <w:vAlign w:val="center"/>
          </w:tcPr>
          <w:p w14:paraId="488B7AE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井盖等附属设施</w:t>
            </w:r>
          </w:p>
        </w:tc>
        <w:tc>
          <w:tcPr>
            <w:tcW w:w="734" w:type="pct"/>
            <w:tcBorders>
              <w:top w:val="single" w:color="000000" w:sz="8" w:space="0"/>
              <w:left w:val="single" w:color="000000" w:sz="8" w:space="0"/>
              <w:bottom w:val="single" w:color="000000" w:sz="8" w:space="0"/>
              <w:right w:val="single" w:color="000000" w:sz="8" w:space="0"/>
            </w:tcBorders>
            <w:noWrap w:val="0"/>
            <w:vAlign w:val="center"/>
          </w:tcPr>
          <w:p w14:paraId="11DA3B3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p>
        </w:tc>
        <w:tc>
          <w:tcPr>
            <w:tcW w:w="1606" w:type="pct"/>
            <w:tcBorders>
              <w:top w:val="single" w:color="000000" w:sz="8" w:space="0"/>
              <w:left w:val="single" w:color="000000" w:sz="8" w:space="0"/>
              <w:bottom w:val="single" w:color="000000" w:sz="8" w:space="0"/>
              <w:right w:val="single" w:color="000000" w:sz="8" w:space="0"/>
            </w:tcBorders>
            <w:noWrap w:val="0"/>
            <w:vAlign w:val="center"/>
          </w:tcPr>
          <w:p w14:paraId="5DE1B29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35381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06" w:type="pct"/>
            <w:vMerge w:val="restart"/>
            <w:tcBorders>
              <w:top w:val="single" w:color="000000" w:sz="8" w:space="0"/>
              <w:left w:val="single" w:color="000000" w:sz="8" w:space="0"/>
              <w:right w:val="single" w:color="000000" w:sz="8" w:space="0"/>
            </w:tcBorders>
            <w:noWrap w:val="0"/>
            <w:vAlign w:val="center"/>
          </w:tcPr>
          <w:p w14:paraId="40767B38">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预处理设施站点管理（40分）</w:t>
            </w:r>
          </w:p>
        </w:tc>
        <w:tc>
          <w:tcPr>
            <w:tcW w:w="1451" w:type="pct"/>
            <w:tcBorders>
              <w:top w:val="single" w:color="000000" w:sz="8" w:space="0"/>
              <w:left w:val="single" w:color="000000" w:sz="8" w:space="0"/>
              <w:bottom w:val="single" w:color="000000" w:sz="8" w:space="0"/>
              <w:right w:val="single" w:color="000000" w:sz="8" w:space="0"/>
            </w:tcBorders>
            <w:noWrap w:val="0"/>
            <w:vAlign w:val="center"/>
          </w:tcPr>
          <w:p w14:paraId="776EC90A">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环境卫生</w:t>
            </w:r>
          </w:p>
        </w:tc>
        <w:tc>
          <w:tcPr>
            <w:tcW w:w="734" w:type="pct"/>
            <w:tcBorders>
              <w:top w:val="single" w:color="000000" w:sz="8" w:space="0"/>
              <w:left w:val="single" w:color="000000" w:sz="8" w:space="0"/>
              <w:bottom w:val="single" w:color="000000" w:sz="8" w:space="0"/>
              <w:right w:val="single" w:color="000000" w:sz="8" w:space="0"/>
            </w:tcBorders>
            <w:noWrap w:val="0"/>
            <w:vAlign w:val="center"/>
          </w:tcPr>
          <w:p w14:paraId="6B07959B">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606" w:type="pct"/>
            <w:tcBorders>
              <w:top w:val="single" w:color="000000" w:sz="8" w:space="0"/>
              <w:left w:val="single" w:color="000000" w:sz="8" w:space="0"/>
              <w:bottom w:val="single" w:color="000000" w:sz="8" w:space="0"/>
              <w:right w:val="single" w:color="000000" w:sz="8" w:space="0"/>
            </w:tcBorders>
            <w:noWrap w:val="0"/>
            <w:vAlign w:val="center"/>
          </w:tcPr>
          <w:p w14:paraId="7FEF9E68">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0FD80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06" w:type="pct"/>
            <w:vMerge w:val="continue"/>
            <w:tcBorders>
              <w:left w:val="single" w:color="000000" w:sz="8" w:space="0"/>
              <w:right w:val="single" w:color="000000" w:sz="8" w:space="0"/>
            </w:tcBorders>
            <w:noWrap w:val="0"/>
            <w:vAlign w:val="center"/>
          </w:tcPr>
          <w:p w14:paraId="548C280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451" w:type="pct"/>
            <w:tcBorders>
              <w:top w:val="single" w:color="000000" w:sz="8" w:space="0"/>
              <w:left w:val="single" w:color="000000" w:sz="8" w:space="0"/>
              <w:bottom w:val="single" w:color="000000" w:sz="8" w:space="0"/>
              <w:right w:val="single" w:color="000000" w:sz="8" w:space="0"/>
            </w:tcBorders>
            <w:noWrap w:val="0"/>
            <w:vAlign w:val="center"/>
          </w:tcPr>
          <w:p w14:paraId="5DC95BD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预处理设施</w:t>
            </w:r>
          </w:p>
        </w:tc>
        <w:tc>
          <w:tcPr>
            <w:tcW w:w="734" w:type="pct"/>
            <w:tcBorders>
              <w:top w:val="single" w:color="000000" w:sz="8" w:space="0"/>
              <w:left w:val="single" w:color="000000" w:sz="8" w:space="0"/>
              <w:bottom w:val="single" w:color="000000" w:sz="8" w:space="0"/>
              <w:right w:val="single" w:color="000000" w:sz="8" w:space="0"/>
            </w:tcBorders>
            <w:noWrap w:val="0"/>
            <w:vAlign w:val="center"/>
          </w:tcPr>
          <w:p w14:paraId="0FF98E7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606" w:type="pct"/>
            <w:tcBorders>
              <w:top w:val="single" w:color="000000" w:sz="8" w:space="0"/>
              <w:left w:val="single" w:color="000000" w:sz="8" w:space="0"/>
              <w:bottom w:val="single" w:color="000000" w:sz="8" w:space="0"/>
              <w:right w:val="single" w:color="000000" w:sz="8" w:space="0"/>
            </w:tcBorders>
            <w:noWrap w:val="0"/>
            <w:vAlign w:val="center"/>
          </w:tcPr>
          <w:p w14:paraId="4D5E0BB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4CD44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06" w:type="pct"/>
            <w:vMerge w:val="continue"/>
            <w:tcBorders>
              <w:left w:val="single" w:color="000000" w:sz="8" w:space="0"/>
              <w:bottom w:val="single" w:color="000000" w:sz="8" w:space="0"/>
              <w:right w:val="single" w:color="000000" w:sz="8" w:space="0"/>
            </w:tcBorders>
            <w:noWrap w:val="0"/>
            <w:vAlign w:val="center"/>
          </w:tcPr>
          <w:p w14:paraId="015C4F7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451" w:type="pct"/>
            <w:tcBorders>
              <w:top w:val="single" w:color="000000" w:sz="8" w:space="0"/>
              <w:left w:val="single" w:color="000000" w:sz="8" w:space="0"/>
              <w:bottom w:val="single" w:color="000000" w:sz="8" w:space="0"/>
              <w:right w:val="single" w:color="000000" w:sz="8" w:space="0"/>
            </w:tcBorders>
            <w:noWrap w:val="0"/>
            <w:vAlign w:val="center"/>
          </w:tcPr>
          <w:p w14:paraId="27098028">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受纳体情况</w:t>
            </w:r>
          </w:p>
        </w:tc>
        <w:tc>
          <w:tcPr>
            <w:tcW w:w="734" w:type="pct"/>
            <w:tcBorders>
              <w:top w:val="single" w:color="000000" w:sz="8" w:space="0"/>
              <w:left w:val="single" w:color="000000" w:sz="8" w:space="0"/>
              <w:bottom w:val="single" w:color="000000" w:sz="8" w:space="0"/>
              <w:right w:val="single" w:color="000000" w:sz="8" w:space="0"/>
            </w:tcBorders>
            <w:noWrap w:val="0"/>
            <w:vAlign w:val="center"/>
          </w:tcPr>
          <w:p w14:paraId="42ED500F">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606" w:type="pct"/>
            <w:tcBorders>
              <w:top w:val="single" w:color="000000" w:sz="8" w:space="0"/>
              <w:left w:val="single" w:color="000000" w:sz="8" w:space="0"/>
              <w:bottom w:val="single" w:color="000000" w:sz="8" w:space="0"/>
              <w:right w:val="single" w:color="000000" w:sz="8" w:space="0"/>
            </w:tcBorders>
            <w:noWrap w:val="0"/>
            <w:vAlign w:val="center"/>
          </w:tcPr>
          <w:p w14:paraId="59E6307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10124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06" w:type="pct"/>
            <w:vMerge w:val="restart"/>
            <w:tcBorders>
              <w:top w:val="single" w:color="000000" w:sz="8" w:space="0"/>
              <w:left w:val="single" w:color="000000" w:sz="8" w:space="0"/>
              <w:bottom w:val="single" w:color="000000" w:sz="8" w:space="0"/>
              <w:right w:val="single" w:color="000000" w:sz="8" w:space="0"/>
            </w:tcBorders>
            <w:noWrap w:val="0"/>
            <w:vAlign w:val="center"/>
          </w:tcPr>
          <w:p w14:paraId="507D928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运营管理</w:t>
            </w:r>
          </w:p>
          <w:p w14:paraId="64F59E8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（40分）</w:t>
            </w:r>
          </w:p>
        </w:tc>
        <w:tc>
          <w:tcPr>
            <w:tcW w:w="1451" w:type="pct"/>
            <w:tcBorders>
              <w:top w:val="single" w:color="000000" w:sz="8" w:space="0"/>
              <w:left w:val="single" w:color="000000" w:sz="8" w:space="0"/>
              <w:bottom w:val="single" w:color="000000" w:sz="8" w:space="0"/>
              <w:right w:val="single" w:color="000000" w:sz="8" w:space="0"/>
            </w:tcBorders>
            <w:noWrap w:val="0"/>
            <w:vAlign w:val="center"/>
          </w:tcPr>
          <w:p w14:paraId="4A69EF1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日常运营管理体系</w:t>
            </w:r>
          </w:p>
        </w:tc>
        <w:tc>
          <w:tcPr>
            <w:tcW w:w="734" w:type="pct"/>
            <w:tcBorders>
              <w:top w:val="single" w:color="000000" w:sz="8" w:space="0"/>
              <w:left w:val="single" w:color="000000" w:sz="8" w:space="0"/>
              <w:bottom w:val="single" w:color="000000" w:sz="8" w:space="0"/>
              <w:right w:val="single" w:color="000000" w:sz="8" w:space="0"/>
            </w:tcBorders>
            <w:noWrap w:val="0"/>
            <w:vAlign w:val="center"/>
          </w:tcPr>
          <w:p w14:paraId="6217E0A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606" w:type="pct"/>
            <w:tcBorders>
              <w:top w:val="single" w:color="000000" w:sz="8" w:space="0"/>
              <w:left w:val="single" w:color="000000" w:sz="8" w:space="0"/>
              <w:bottom w:val="single" w:color="000000" w:sz="8" w:space="0"/>
              <w:right w:val="single" w:color="000000" w:sz="8" w:space="0"/>
            </w:tcBorders>
            <w:noWrap w:val="0"/>
            <w:vAlign w:val="center"/>
          </w:tcPr>
          <w:p w14:paraId="59EAAD64">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04D12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06" w:type="pct"/>
            <w:vMerge w:val="continue"/>
            <w:tcBorders>
              <w:top w:val="single" w:color="000000" w:sz="8" w:space="0"/>
              <w:left w:val="single" w:color="000000" w:sz="8" w:space="0"/>
              <w:bottom w:val="single" w:color="000000" w:sz="8" w:space="0"/>
              <w:right w:val="single" w:color="000000" w:sz="8" w:space="0"/>
            </w:tcBorders>
            <w:noWrap w:val="0"/>
            <w:vAlign w:val="center"/>
          </w:tcPr>
          <w:p w14:paraId="699C1C0D">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451" w:type="pct"/>
            <w:tcBorders>
              <w:top w:val="single" w:color="000000" w:sz="8" w:space="0"/>
              <w:left w:val="single" w:color="000000" w:sz="8" w:space="0"/>
              <w:bottom w:val="single" w:color="000000" w:sz="8" w:space="0"/>
              <w:right w:val="single" w:color="000000" w:sz="8" w:space="0"/>
            </w:tcBorders>
            <w:noWrap w:val="0"/>
            <w:vAlign w:val="center"/>
          </w:tcPr>
          <w:p w14:paraId="1D15E65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运营记录</w:t>
            </w:r>
          </w:p>
        </w:tc>
        <w:tc>
          <w:tcPr>
            <w:tcW w:w="734" w:type="pct"/>
            <w:tcBorders>
              <w:top w:val="single" w:color="000000" w:sz="8" w:space="0"/>
              <w:left w:val="single" w:color="000000" w:sz="8" w:space="0"/>
              <w:bottom w:val="single" w:color="000000" w:sz="8" w:space="0"/>
              <w:right w:val="single" w:color="000000" w:sz="8" w:space="0"/>
            </w:tcBorders>
            <w:noWrap w:val="0"/>
            <w:vAlign w:val="center"/>
          </w:tcPr>
          <w:p w14:paraId="415E74A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606" w:type="pct"/>
            <w:tcBorders>
              <w:top w:val="single" w:color="000000" w:sz="8" w:space="0"/>
              <w:left w:val="single" w:color="000000" w:sz="8" w:space="0"/>
              <w:bottom w:val="single" w:color="000000" w:sz="8" w:space="0"/>
              <w:right w:val="single" w:color="000000" w:sz="8" w:space="0"/>
            </w:tcBorders>
            <w:noWrap w:val="0"/>
            <w:vAlign w:val="center"/>
          </w:tcPr>
          <w:p w14:paraId="5F9810C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39A61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06" w:type="pct"/>
            <w:vMerge w:val="continue"/>
            <w:tcBorders>
              <w:top w:val="single" w:color="000000" w:sz="8" w:space="0"/>
              <w:left w:val="single" w:color="000000" w:sz="8" w:space="0"/>
              <w:bottom w:val="single" w:color="000000" w:sz="8" w:space="0"/>
              <w:right w:val="single" w:color="000000" w:sz="8" w:space="0"/>
            </w:tcBorders>
            <w:noWrap w:val="0"/>
            <w:vAlign w:val="center"/>
          </w:tcPr>
          <w:p w14:paraId="1136149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451" w:type="pct"/>
            <w:tcBorders>
              <w:top w:val="single" w:color="000000" w:sz="8" w:space="0"/>
              <w:left w:val="single" w:color="000000" w:sz="8" w:space="0"/>
              <w:bottom w:val="single" w:color="000000" w:sz="8" w:space="0"/>
              <w:right w:val="single" w:color="000000" w:sz="8" w:space="0"/>
            </w:tcBorders>
            <w:noWrap w:val="0"/>
            <w:vAlign w:val="center"/>
          </w:tcPr>
          <w:p w14:paraId="1A584C2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维修及保养记录</w:t>
            </w:r>
          </w:p>
        </w:tc>
        <w:tc>
          <w:tcPr>
            <w:tcW w:w="734" w:type="pct"/>
            <w:tcBorders>
              <w:top w:val="single" w:color="000000" w:sz="8" w:space="0"/>
              <w:left w:val="single" w:color="000000" w:sz="8" w:space="0"/>
              <w:bottom w:val="single" w:color="000000" w:sz="8" w:space="0"/>
              <w:right w:val="single" w:color="000000" w:sz="8" w:space="0"/>
            </w:tcBorders>
            <w:noWrap w:val="0"/>
            <w:vAlign w:val="center"/>
          </w:tcPr>
          <w:p w14:paraId="21426B4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c>
          <w:tcPr>
            <w:tcW w:w="1606" w:type="pct"/>
            <w:tcBorders>
              <w:top w:val="single" w:color="000000" w:sz="8" w:space="0"/>
              <w:left w:val="single" w:color="000000" w:sz="8" w:space="0"/>
              <w:bottom w:val="single" w:color="000000" w:sz="8" w:space="0"/>
              <w:right w:val="single" w:color="000000" w:sz="8" w:space="0"/>
            </w:tcBorders>
            <w:noWrap w:val="0"/>
            <w:vAlign w:val="center"/>
          </w:tcPr>
          <w:p w14:paraId="508201F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1F808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206" w:type="pct"/>
            <w:tcBorders>
              <w:top w:val="single" w:color="000000" w:sz="8" w:space="0"/>
              <w:left w:val="single" w:color="000000" w:sz="8" w:space="0"/>
              <w:bottom w:val="single" w:color="000000" w:sz="8" w:space="0"/>
              <w:right w:val="single" w:color="000000" w:sz="8" w:space="0"/>
            </w:tcBorders>
            <w:noWrap w:val="0"/>
            <w:vAlign w:val="center"/>
          </w:tcPr>
          <w:p w14:paraId="6824CCE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综合评价</w:t>
            </w:r>
          </w:p>
          <w:p w14:paraId="06145820">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（一票否决项）</w:t>
            </w:r>
          </w:p>
        </w:tc>
        <w:tc>
          <w:tcPr>
            <w:tcW w:w="1451" w:type="pct"/>
            <w:tcBorders>
              <w:top w:val="single" w:color="000000" w:sz="8" w:space="0"/>
              <w:left w:val="single" w:color="000000" w:sz="8" w:space="0"/>
              <w:bottom w:val="single" w:color="000000" w:sz="8" w:space="0"/>
              <w:right w:val="single" w:color="000000" w:sz="8" w:space="0"/>
            </w:tcBorders>
            <w:noWrap w:val="0"/>
            <w:vAlign w:val="center"/>
          </w:tcPr>
          <w:p w14:paraId="04F7A438">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负面通报及投诉</w:t>
            </w:r>
          </w:p>
        </w:tc>
        <w:tc>
          <w:tcPr>
            <w:tcW w:w="734" w:type="pct"/>
            <w:tcBorders>
              <w:top w:val="single" w:color="000000" w:sz="8" w:space="0"/>
              <w:left w:val="single" w:color="000000" w:sz="8" w:space="0"/>
              <w:bottom w:val="single" w:color="000000" w:sz="8" w:space="0"/>
              <w:right w:val="single" w:color="000000" w:sz="8" w:space="0"/>
            </w:tcBorders>
            <w:noWrap w:val="0"/>
            <w:vAlign w:val="center"/>
          </w:tcPr>
          <w:p w14:paraId="2D22E34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sz w:val="28"/>
                <w:szCs w:val="28"/>
                <w:lang w:val="en-US" w:eastAsia="zh-CN"/>
              </w:rPr>
            </w:pPr>
          </w:p>
        </w:tc>
        <w:tc>
          <w:tcPr>
            <w:tcW w:w="1606" w:type="pct"/>
            <w:tcBorders>
              <w:top w:val="single" w:color="000000" w:sz="8" w:space="0"/>
              <w:left w:val="single" w:color="000000" w:sz="8" w:space="0"/>
              <w:bottom w:val="single" w:color="000000" w:sz="8" w:space="0"/>
              <w:right w:val="single" w:color="000000" w:sz="8" w:space="0"/>
            </w:tcBorders>
            <w:noWrap w:val="0"/>
            <w:vAlign w:val="center"/>
          </w:tcPr>
          <w:p w14:paraId="42B100A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sz w:val="28"/>
                <w:szCs w:val="28"/>
                <w:lang w:val="en-US" w:eastAsia="zh-CN"/>
              </w:rPr>
            </w:pPr>
          </w:p>
        </w:tc>
      </w:tr>
      <w:tr w14:paraId="4EB08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658" w:type="pct"/>
            <w:gridSpan w:val="2"/>
            <w:tcBorders>
              <w:top w:val="single" w:color="000000" w:sz="8" w:space="0"/>
              <w:left w:val="single" w:color="000000" w:sz="8" w:space="0"/>
              <w:bottom w:val="single" w:color="000000" w:sz="8" w:space="0"/>
              <w:right w:val="single" w:color="000000" w:sz="8" w:space="0"/>
            </w:tcBorders>
            <w:noWrap w:val="0"/>
            <w:vAlign w:val="center"/>
          </w:tcPr>
          <w:p w14:paraId="4CB3FDA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合计</w:t>
            </w:r>
          </w:p>
        </w:tc>
        <w:tc>
          <w:tcPr>
            <w:tcW w:w="734" w:type="pct"/>
            <w:tcBorders>
              <w:top w:val="single" w:color="000000" w:sz="8" w:space="0"/>
              <w:left w:val="single" w:color="000000" w:sz="8" w:space="0"/>
              <w:bottom w:val="single" w:color="000000" w:sz="8" w:space="0"/>
              <w:right w:val="single" w:color="000000" w:sz="8" w:space="0"/>
            </w:tcBorders>
            <w:noWrap w:val="0"/>
            <w:vAlign w:val="center"/>
          </w:tcPr>
          <w:p w14:paraId="5744BED3">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_GB2312" w:hAnsi="仿宋_GB2312" w:eastAsia="仿宋_GB2312" w:cs="仿宋_GB2312"/>
                <w:b/>
                <w:bCs/>
                <w:sz w:val="28"/>
                <w:szCs w:val="28"/>
                <w:lang w:val="en-US" w:eastAsia="zh-CN"/>
              </w:rPr>
            </w:pPr>
          </w:p>
        </w:tc>
        <w:tc>
          <w:tcPr>
            <w:tcW w:w="1606" w:type="pct"/>
            <w:tcBorders>
              <w:top w:val="single" w:color="000000" w:sz="8" w:space="0"/>
              <w:left w:val="single" w:color="000000" w:sz="8" w:space="0"/>
              <w:bottom w:val="single" w:color="000000" w:sz="8" w:space="0"/>
              <w:right w:val="single" w:color="000000" w:sz="8" w:space="0"/>
            </w:tcBorders>
            <w:noWrap w:val="0"/>
            <w:vAlign w:val="center"/>
          </w:tcPr>
          <w:p w14:paraId="2EF2F14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val="0"/>
                <w:bCs w:val="0"/>
                <w:sz w:val="28"/>
                <w:szCs w:val="28"/>
                <w:lang w:val="en-US" w:eastAsia="zh-CN"/>
              </w:rPr>
              <w:t>/</w:t>
            </w:r>
          </w:p>
        </w:tc>
      </w:tr>
    </w:tbl>
    <w:p w14:paraId="7EBFA62F">
      <w:pPr>
        <w:pStyle w:val="4"/>
        <w:keepNext w:val="0"/>
        <w:keepLines w:val="0"/>
        <w:pageBreakBefore w:val="0"/>
        <w:widowControl w:val="0"/>
        <w:numPr>
          <w:ilvl w:val="0"/>
          <w:numId w:val="0"/>
        </w:numPr>
        <w:kinsoku/>
        <w:wordWrap/>
        <w:overflowPunct/>
        <w:topLinePunct w:val="0"/>
        <w:autoSpaceDE/>
        <w:autoSpaceDN/>
        <w:bidi w:val="0"/>
        <w:adjustRightInd/>
        <w:snapToGrid/>
        <w:spacing w:before="157" w:beforeLines="50" w:line="600" w:lineRule="exact"/>
        <w:jc w:val="both"/>
        <w:textAlignment w:val="auto"/>
        <w:rPr>
          <w:rFonts w:hint="eastAsia" w:ascii="仿宋_GB2312" w:hAnsi="Calibri" w:eastAsia="仿宋_GB2312" w:cs="Times New Roman"/>
          <w:b/>
          <w:bCs/>
          <w:color w:val="000000"/>
          <w:kern w:val="2"/>
          <w:sz w:val="32"/>
          <w:szCs w:val="32"/>
          <w:lang w:val="en-US" w:eastAsia="zh-CN" w:bidi="ar-SA"/>
        </w:rPr>
      </w:pPr>
      <w:r>
        <w:rPr>
          <w:rFonts w:hint="eastAsia" w:ascii="仿宋_GB2312" w:hAnsi="Calibri" w:eastAsia="仿宋_GB2312" w:cs="Times New Roman"/>
          <w:b/>
          <w:bCs/>
          <w:color w:val="000000"/>
          <w:kern w:val="2"/>
          <w:sz w:val="32"/>
          <w:szCs w:val="32"/>
          <w:lang w:val="en-US" w:eastAsia="zh-CN" w:bidi="ar-SA"/>
        </w:rPr>
        <w:t>考核组签名（至少2人）：</w:t>
      </w:r>
      <w:r>
        <w:rPr>
          <w:rFonts w:hint="eastAsia" w:ascii="仿宋_GB2312" w:hAnsi="Calibri" w:eastAsia="仿宋_GB2312" w:cs="Times New Roman"/>
          <w:b/>
          <w:bCs/>
          <w:color w:val="000000"/>
          <w:kern w:val="2"/>
          <w:sz w:val="32"/>
          <w:szCs w:val="32"/>
          <w:u w:val="single"/>
          <w:lang w:val="en-US" w:eastAsia="zh-CN" w:bidi="ar-SA"/>
        </w:rPr>
        <w:t xml:space="preserve">                                </w:t>
      </w:r>
    </w:p>
    <w:p w14:paraId="02B35D93">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rPr>
          <w:rFonts w:hint="eastAsia" w:ascii="仿宋_GB2312" w:hAnsi="Calibri" w:eastAsia="仿宋_GB2312" w:cs="Times New Roman"/>
          <w:b/>
          <w:bCs/>
          <w:color w:val="000000"/>
          <w:kern w:val="2"/>
          <w:sz w:val="32"/>
          <w:szCs w:val="32"/>
          <w:lang w:val="en-US" w:eastAsia="zh-CN" w:bidi="ar-SA"/>
        </w:rPr>
      </w:pPr>
      <w:r>
        <w:rPr>
          <w:rFonts w:hint="eastAsia" w:ascii="仿宋_GB2312" w:hAnsi="Calibri" w:eastAsia="仿宋_GB2312" w:cs="Times New Roman"/>
          <w:b/>
          <w:bCs/>
          <w:color w:val="000000"/>
          <w:kern w:val="2"/>
          <w:sz w:val="32"/>
          <w:szCs w:val="32"/>
          <w:lang w:val="en-US" w:eastAsia="zh-CN" w:bidi="ar-SA"/>
        </w:rPr>
        <w:t>考核日期：</w:t>
      </w:r>
      <w:r>
        <w:rPr>
          <w:rFonts w:hint="eastAsia" w:ascii="仿宋_GB2312" w:hAnsi="Calibri" w:eastAsia="仿宋_GB2312" w:cs="Times New Roman"/>
          <w:b/>
          <w:bCs/>
          <w:color w:val="000000"/>
          <w:kern w:val="2"/>
          <w:sz w:val="32"/>
          <w:szCs w:val="32"/>
          <w:u w:val="single"/>
          <w:lang w:val="en-US" w:eastAsia="zh-CN" w:bidi="ar-SA"/>
        </w:rPr>
        <w:t xml:space="preserve">                                             </w:t>
      </w:r>
    </w:p>
    <w:p w14:paraId="5B49335E">
      <w:pPr>
        <w:spacing w:line="700" w:lineRule="exact"/>
        <w:jc w:val="both"/>
        <w:rPr>
          <w:rFonts w:hint="eastAsia" w:ascii="仿宋_GB2312" w:eastAsia="仿宋_GB2312"/>
          <w:sz w:val="32"/>
          <w:szCs w:val="32"/>
        </w:rPr>
      </w:pPr>
    </w:p>
    <w:sectPr>
      <w:pgSz w:w="11906" w:h="16838"/>
      <w:pgMar w:top="2098" w:right="1474" w:bottom="1984" w:left="1587" w:header="850" w:footer="1474" w:gutter="0"/>
      <w:cols w:space="0" w:num="1"/>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0"/>
    <w:family w:val="auto"/>
    <w:pitch w:val="default"/>
    <w:sig w:usb0="00000000" w:usb1="00000000" w:usb2="00000009" w:usb3="00000000" w:csb0="400001FF" w:csb1="FFFF0000"/>
  </w:font>
  <w:font w:name="宋体">
    <w:altName w:val="文泉驿微米黑"/>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仿宋_GB2312">
    <w:altName w:val="CESI仿宋-GB13000"/>
    <w:panose1 w:val="02010609030101010101"/>
    <w:charset w:val="86"/>
    <w:family w:val="modern"/>
    <w:pitch w:val="default"/>
    <w:sig w:usb0="00000000" w:usb1="00000000" w:usb2="00000000" w:usb3="00000000" w:csb0="00040000" w:csb1="00000000"/>
  </w:font>
  <w:font w:name="CESI仿宋-GB13000">
    <w:panose1 w:val="02000500000000000000"/>
    <w:charset w:val="86"/>
    <w:family w:val="auto"/>
    <w:pitch w:val="default"/>
    <w:sig w:usb0="800002BF" w:usb1="18CF7CF8" w:usb2="00000016" w:usb3="00000000" w:csb0="0004000F" w:csb1="00000000"/>
  </w:font>
  <w:font w:name="国标黑体">
    <w:panose1 w:val="02000500000000000000"/>
    <w:charset w:val="86"/>
    <w:family w:val="auto"/>
    <w:pitch w:val="default"/>
    <w:sig w:usb0="00000001" w:usb1="08000000" w:usb2="00000000" w:usb3="00000000" w:csb0="00040000" w:csb1="00000000"/>
  </w:font>
  <w:font w:name="方正小标宋简体">
    <w:altName w:val="CESI小标宋-GB13000"/>
    <w:panose1 w:val="03000509000000000000"/>
    <w:charset w:val="86"/>
    <w:family w:val="script"/>
    <w:pitch w:val="default"/>
    <w:sig w:usb0="00000000" w:usb1="00000000" w:usb2="00000000" w:usb3="00000000" w:csb0="00040000" w:csb1="00000000"/>
  </w:font>
  <w:font w:name="CESI小标宋-GB13000">
    <w:panose1 w:val="02000500000000000000"/>
    <w:charset w:val="86"/>
    <w:family w:val="auto"/>
    <w:pitch w:val="default"/>
    <w:sig w:usb0="800002BF" w:usb1="18CF7CF8" w:usb2="00000016" w:usb3="00000000" w:csb0="0004000F" w:csb1="00000000"/>
  </w:font>
  <w:font w:name="CESI黑体-GB13000">
    <w:panose1 w:val="02000500000000000000"/>
    <w:charset w:val="86"/>
    <w:family w:val="auto"/>
    <w:pitch w:val="default"/>
    <w:sig w:usb0="800002BF" w:usb1="38CF7CF8" w:usb2="00000016" w:usb3="00000000" w:csb0="0004000F" w:csb1="00000000"/>
  </w:font>
  <w:font w:name="CESI仿宋-GB2312">
    <w:panose1 w:val="02000500000000000000"/>
    <w:charset w:val="86"/>
    <w:family w:val="auto"/>
    <w:pitch w:val="default"/>
    <w:sig w:usb0="800002AF" w:usb1="084F6CF8" w:usb2="00000010" w:usb3="00000000" w:csb0="0004000F" w:csb1="00000000"/>
  </w:font>
  <w:font w:name="楷体_GB2312">
    <w:altName w:val="CESI楷体-GB13000"/>
    <w:panose1 w:val="02010609030101010101"/>
    <w:charset w:val="86"/>
    <w:family w:val="modern"/>
    <w:pitch w:val="default"/>
    <w:sig w:usb0="00000000" w:usb1="00000000" w:usb2="00000000" w:usb3="00000000" w:csb0="00040000" w:csb1="00000000"/>
  </w:font>
  <w:font w:name="CESI楷体-GB13000">
    <w:panose1 w:val="02000500000000000000"/>
    <w:charset w:val="86"/>
    <w:family w:val="auto"/>
    <w:pitch w:val="default"/>
    <w:sig w:usb0="800002BF" w:usb1="38CF7CF8"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C7485">
    <w:pPr>
      <w:pStyle w:val="6"/>
      <w:ind w:firstLine="7920" w:firstLineChars="440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6769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676900" cy="1828800"/>
                      </a:xfrm>
                      <a:prstGeom prst="rect">
                        <a:avLst/>
                      </a:prstGeom>
                      <a:noFill/>
                      <a:ln w="6350">
                        <a:noFill/>
                      </a:ln>
                      <a:effectLst/>
                    </wps:spPr>
                    <wps:txbx>
                      <w:txbxContent>
                        <w:sdt>
                          <w:sdtPr>
                            <w:id w:val="218099283"/>
                          </w:sdtPr>
                          <w:sdtContent>
                            <w:p w14:paraId="40DD6909">
                              <w:pPr>
                                <w:pStyle w:val="6"/>
                                <w:ind w:firstLine="7920" w:firstLineChars="4400"/>
                              </w:pPr>
                              <w:r>
                                <w:rPr>
                                  <w:rFonts w:hint="eastAsia" w:ascii="仿宋_GB2312" w:hAnsi="仿宋_GB2312" w:eastAsia="仿宋_GB2312" w:cs="仿宋_GB2312"/>
                                  <w:sz w:val="28"/>
                                  <w:szCs w:val="28"/>
                                </w:rPr>
                                <w:t xml:space="preserve">— </w:t>
                              </w: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3</w:t>
                              </w:r>
                              <w:r>
                                <w:rPr>
                                  <w:rFonts w:hint="eastAsia" w:ascii="仿宋_GB2312" w:eastAsia="仿宋_GB2312"/>
                                  <w:sz w:val="28"/>
                                  <w:szCs w:val="28"/>
                                </w:rPr>
                                <w:fldChar w:fldCharType="end"/>
                              </w:r>
                              <w:r>
                                <w:rPr>
                                  <w:rFonts w:hint="eastAsia" w:ascii="仿宋_GB2312" w:eastAsia="仿宋_GB2312"/>
                                  <w:sz w:val="28"/>
                                  <w:szCs w:val="28"/>
                                </w:rPr>
                                <w:t xml:space="preserve"> —</w:t>
                              </w:r>
                            </w:p>
                          </w:sdtContent>
                        </w:sdt>
                        <w:p w14:paraId="5713EA35"/>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447pt;mso-position-horizontal:outside;mso-position-horizontal-relative:margin;z-index:251659264;mso-width-relative:page;mso-height-relative:page;" filled="f" stroked="f" coordsize="21600,21600" o:gfxdata="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ezZ7E0wAAAAUBAAAPAAAAAAAAAAEAIAAAACIAAABkcnMvZG93bnJldi54&#10;bWxQSwECFAAUAAAACACHTuJAIdbBjDgCAABlBAAADgAAAAAAAAABACAAAAAiAQAAZHJzL2Uyb0Rv&#10;Yy54bWxQSwUGAAAAAAYABgBZAQAAzAUAAAAA&#10;">
              <v:fill on="f" focussize="0,0"/>
              <v:stroke on="f" weight="0.5pt"/>
              <v:imagedata o:title=""/>
              <o:lock v:ext="edit" aspectratio="f"/>
              <v:textbox inset="0mm,0mm,0mm,0mm" style="mso-fit-shape-to-text:t;">
                <w:txbxContent>
                  <w:sdt>
                    <w:sdtPr>
                      <w:id w:val="218099283"/>
                    </w:sdtPr>
                    <w:sdtContent>
                      <w:p w14:paraId="40DD6909">
                        <w:pPr>
                          <w:pStyle w:val="6"/>
                          <w:ind w:firstLine="7920" w:firstLineChars="4400"/>
                        </w:pPr>
                        <w:r>
                          <w:rPr>
                            <w:rFonts w:hint="eastAsia" w:ascii="仿宋_GB2312" w:hAnsi="仿宋_GB2312" w:eastAsia="仿宋_GB2312" w:cs="仿宋_GB2312"/>
                            <w:sz w:val="28"/>
                            <w:szCs w:val="28"/>
                          </w:rPr>
                          <w:t xml:space="preserve">— </w:t>
                        </w: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3</w:t>
                        </w:r>
                        <w:r>
                          <w:rPr>
                            <w:rFonts w:hint="eastAsia" w:ascii="仿宋_GB2312" w:eastAsia="仿宋_GB2312"/>
                            <w:sz w:val="28"/>
                            <w:szCs w:val="28"/>
                          </w:rPr>
                          <w:fldChar w:fldCharType="end"/>
                        </w:r>
                        <w:r>
                          <w:rPr>
                            <w:rFonts w:hint="eastAsia" w:ascii="仿宋_GB2312" w:eastAsia="仿宋_GB2312"/>
                            <w:sz w:val="28"/>
                            <w:szCs w:val="28"/>
                          </w:rPr>
                          <w:t xml:space="preserve"> —</w:t>
                        </w:r>
                      </w:p>
                    </w:sdtContent>
                  </w:sdt>
                  <w:p w14:paraId="5713EA35"/>
                </w:txbxContent>
              </v:textbox>
            </v:shape>
          </w:pict>
        </mc:Fallback>
      </mc:AlternateContent>
    </w:r>
  </w:p>
  <w:p w14:paraId="6DB3C4F6">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059B4">
    <w:pPr>
      <w:pStyle w:val="6"/>
      <w:rPr>
        <w:rFonts w:ascii="仿宋_GB2312" w:eastAsia="仿宋_GB2312"/>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0</wp:posOffset>
              </wp:positionV>
              <wp:extent cx="803275" cy="579120"/>
              <wp:effectExtent l="0" t="0" r="0" b="0"/>
              <wp:wrapNone/>
              <wp:docPr id="2" name="文本框 2"/>
              <wp:cNvGraphicFramePr/>
              <a:graphic xmlns:a="http://schemas.openxmlformats.org/drawingml/2006/main">
                <a:graphicData uri="http://schemas.microsoft.com/office/word/2010/wordprocessingShape">
                  <wps:wsp>
                    <wps:cNvSpPr txBox="1"/>
                    <wps:spPr>
                      <a:xfrm>
                        <a:off x="0" y="0"/>
                        <a:ext cx="803275" cy="579120"/>
                      </a:xfrm>
                      <a:prstGeom prst="rect">
                        <a:avLst/>
                      </a:prstGeom>
                      <a:noFill/>
                      <a:ln w="6350">
                        <a:noFill/>
                      </a:ln>
                      <a:effectLst/>
                    </wps:spPr>
                    <wps:txbx>
                      <w:txbxContent>
                        <w:sdt>
                          <w:sdtPr>
                            <w:rPr>
                              <w:rFonts w:hint="eastAsia" w:ascii="仿宋_GB2312" w:eastAsia="仿宋_GB2312"/>
                              <w:sz w:val="28"/>
                              <w:szCs w:val="28"/>
                            </w:rPr>
                            <w:id w:val="-1"/>
                          </w:sdtPr>
                          <w:sdtEndPr>
                            <w:rPr>
                              <w:rFonts w:hint="eastAsia" w:ascii="仿宋_GB2312" w:eastAsia="仿宋_GB2312"/>
                              <w:sz w:val="28"/>
                              <w:szCs w:val="28"/>
                            </w:rPr>
                          </w:sdtEndPr>
                          <w:sdtContent>
                            <w:p w14:paraId="3F6F9E69">
                              <w:pPr>
                                <w:pStyle w:val="6"/>
                                <w:rPr>
                                  <w:rFonts w:ascii="仿宋_GB2312" w:eastAsia="仿宋_GB2312"/>
                                  <w:sz w:val="28"/>
                                  <w:szCs w:val="28"/>
                                </w:rPr>
                              </w:pPr>
                              <w:r>
                                <w:rPr>
                                  <w:rFonts w:hint="eastAsia" w:ascii="仿宋_GB2312" w:eastAsia="仿宋_GB2312"/>
                                  <w:sz w:val="28"/>
                                  <w:szCs w:val="28"/>
                                </w:rPr>
                                <w:t xml:space="preserve">— </w:t>
                              </w: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4</w:t>
                              </w:r>
                              <w:r>
                                <w:rPr>
                                  <w:rFonts w:hint="eastAsia" w:ascii="仿宋_GB2312" w:eastAsia="仿宋_GB2312"/>
                                  <w:sz w:val="28"/>
                                  <w:szCs w:val="28"/>
                                </w:rPr>
                                <w:fldChar w:fldCharType="end"/>
                              </w:r>
                              <w:r>
                                <w:rPr>
                                  <w:rFonts w:hint="eastAsia" w:ascii="仿宋_GB2312" w:eastAsia="仿宋_GB2312"/>
                                  <w:sz w:val="28"/>
                                  <w:szCs w:val="28"/>
                                </w:rPr>
                                <w:t xml:space="preserve"> —</w:t>
                              </w:r>
                            </w:p>
                          </w:sdtContent>
                        </w:sdt>
                        <w:p w14:paraId="58A88057">
                          <w:pPr>
                            <w:rPr>
                              <w:rFonts w:ascii="仿宋_GB2312" w:eastAsia="仿宋_GB2312"/>
                              <w:sz w:val="28"/>
                              <w:szCs w:val="28"/>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0pt;margin-top:0pt;height:45.6pt;width:63.25pt;mso-position-horizontal-relative:margin;z-index:251660288;mso-width-relative:page;mso-height-relative:page;" filled="f" stroked="f" coordsize="21600,21600" o:gfxdata="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OC5Kj3UAAAABAEAAA8AAAAAAAAAAQAgAAAAIgAAAGRycy9kb3ducmV2&#10;LnhtbFBLAQIUABQAAAAIAIdO4kCOzoYvOQIAAGMEAAAOAAAAAAAAAAEAIAAAACMBAABkcnMvZTJv&#10;RG9jLnhtbFBLBQYAAAAABgAGAFkBAADOBQAAAAA=&#10;">
              <v:fill on="f" focussize="0,0"/>
              <v:stroke on="f" weight="0.5pt"/>
              <v:imagedata o:title=""/>
              <o:lock v:ext="edit" aspectratio="f"/>
              <v:textbox inset="0mm,0mm,0mm,0mm">
                <w:txbxContent>
                  <w:sdt>
                    <w:sdtPr>
                      <w:rPr>
                        <w:rFonts w:hint="eastAsia" w:ascii="仿宋_GB2312" w:eastAsia="仿宋_GB2312"/>
                        <w:sz w:val="28"/>
                        <w:szCs w:val="28"/>
                      </w:rPr>
                      <w:id w:val="-1"/>
                    </w:sdtPr>
                    <w:sdtEndPr>
                      <w:rPr>
                        <w:rFonts w:hint="eastAsia" w:ascii="仿宋_GB2312" w:eastAsia="仿宋_GB2312"/>
                        <w:sz w:val="28"/>
                        <w:szCs w:val="28"/>
                      </w:rPr>
                    </w:sdtEndPr>
                    <w:sdtContent>
                      <w:p w14:paraId="3F6F9E69">
                        <w:pPr>
                          <w:pStyle w:val="6"/>
                          <w:rPr>
                            <w:rFonts w:ascii="仿宋_GB2312" w:eastAsia="仿宋_GB2312"/>
                            <w:sz w:val="28"/>
                            <w:szCs w:val="28"/>
                          </w:rPr>
                        </w:pPr>
                        <w:r>
                          <w:rPr>
                            <w:rFonts w:hint="eastAsia" w:ascii="仿宋_GB2312" w:eastAsia="仿宋_GB2312"/>
                            <w:sz w:val="28"/>
                            <w:szCs w:val="28"/>
                          </w:rPr>
                          <w:t xml:space="preserve">— </w:t>
                        </w: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4</w:t>
                        </w:r>
                        <w:r>
                          <w:rPr>
                            <w:rFonts w:hint="eastAsia" w:ascii="仿宋_GB2312" w:eastAsia="仿宋_GB2312"/>
                            <w:sz w:val="28"/>
                            <w:szCs w:val="28"/>
                          </w:rPr>
                          <w:fldChar w:fldCharType="end"/>
                        </w:r>
                        <w:r>
                          <w:rPr>
                            <w:rFonts w:hint="eastAsia" w:ascii="仿宋_GB2312" w:eastAsia="仿宋_GB2312"/>
                            <w:sz w:val="28"/>
                            <w:szCs w:val="28"/>
                          </w:rPr>
                          <w:t xml:space="preserve"> —</w:t>
                        </w:r>
                      </w:p>
                    </w:sdtContent>
                  </w:sdt>
                  <w:p w14:paraId="58A88057">
                    <w:pPr>
                      <w:rPr>
                        <w:rFonts w:ascii="仿宋_GB2312" w:eastAsia="仿宋_GB2312"/>
                        <w:sz w:val="28"/>
                        <w:szCs w:val="28"/>
                      </w:rPr>
                    </w:pPr>
                  </w:p>
                </w:txbxContent>
              </v:textbox>
            </v:shape>
          </w:pict>
        </mc:Fallback>
      </mc:AlternateContent>
    </w:r>
    <w:r>
      <w:rPr>
        <w:rFonts w:hint="eastAsia" w:ascii="仿宋_GB2312" w:eastAsia="仿宋_GB2312"/>
        <w:sz w:val="28"/>
        <w:szCs w:val="28"/>
      </w:rPr>
      <w:t xml:space="preserve"> </w:t>
    </w:r>
  </w:p>
  <w:p w14:paraId="1D8638AA">
    <w:pPr>
      <w:pStyle w:val="6"/>
      <w:rPr>
        <w:rFonts w:ascii="仿宋_GB2312" w:eastAsia="仿宋_GB2312"/>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72E06">
    <w:pPr>
      <w:widowControl w:val="0"/>
      <w:spacing w:line="1" w:lineRule="exact"/>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09855" cy="79375"/>
              <wp:effectExtent l="0" t="0" r="0" b="0"/>
              <wp:wrapNone/>
              <wp:docPr id="3" name="文本框 3"/>
              <wp:cNvGraphicFramePr/>
              <a:graphic xmlns:a="http://schemas.openxmlformats.org/drawingml/2006/main">
                <a:graphicData uri="http://schemas.microsoft.com/office/word/2010/wordprocessingShape">
                  <wps:wsp>
                    <wps:cNvSpPr txBox="1"/>
                    <wps:spPr>
                      <a:xfrm>
                        <a:off x="0" y="0"/>
                        <a:ext cx="109855" cy="79375"/>
                      </a:xfrm>
                      <a:prstGeom prst="rect">
                        <a:avLst/>
                      </a:prstGeom>
                      <a:noFill/>
                      <a:ln>
                        <a:noFill/>
                      </a:ln>
                    </wps:spPr>
                    <wps:txbx>
                      <w:txbxContent>
                        <w:p w14:paraId="459C5ACB">
                          <w:pPr>
                            <w:pStyle w:val="18"/>
                            <w:keepNext w:val="0"/>
                            <w:keepLines w:val="0"/>
                            <w:widowControl w:val="0"/>
                            <w:shd w:val="clear" w:color="auto" w:fill="auto"/>
                            <w:bidi w:val="0"/>
                            <w:spacing w:before="0" w:after="0" w:line="240" w:lineRule="auto"/>
                            <w:ind w:left="0" w:right="0" w:firstLine="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6.25pt;width:8.65pt;mso-position-horizontal:outside;mso-position-horizontal-relative:margin;mso-wrap-style:none;z-index:251659264;mso-width-relative:page;mso-height-relative:page;" filled="f" stroked="f" coordsize="21600,21600" o:gfxdata="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OQ6pFjRAAAAAwEAAA8AAAAAAAAAAQAgAAAAIgAAAGRycy9kb3du&#10;cmV2LnhtbFBLAQIUABQAAAAIAIdO4kCUDOsQzQEAAJYDAAAOAAAAAAAAAAEAIAAAACABAABkcnMv&#10;ZTJvRG9jLnhtbFBLBQYAAAAABgAGAFkBAABfBQAAAAA=&#10;">
              <v:fill on="f" focussize="0,0"/>
              <v:stroke on="f"/>
              <v:imagedata o:title=""/>
              <o:lock v:ext="edit" aspectratio="f"/>
              <v:textbox inset="0mm,0mm,0mm,0mm" style="mso-fit-shape-to-text:t;">
                <w:txbxContent>
                  <w:p w14:paraId="459C5ACB">
                    <w:pPr>
                      <w:pStyle w:val="18"/>
                      <w:keepNext w:val="0"/>
                      <w:keepLines w:val="0"/>
                      <w:widowControl w:val="0"/>
                      <w:shd w:val="clear" w:color="auto" w:fill="auto"/>
                      <w:bidi w:val="0"/>
                      <w:spacing w:before="0" w:after="0" w:line="240" w:lineRule="auto"/>
                      <w:ind w:left="0" w:right="0" w:firstLine="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579"/>
  <w:displayHorizontalDrawingGridEvery w:val="0"/>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A8E"/>
    <w:rsid w:val="00002779"/>
    <w:rsid w:val="00015D39"/>
    <w:rsid w:val="00023457"/>
    <w:rsid w:val="000432AA"/>
    <w:rsid w:val="00044E25"/>
    <w:rsid w:val="000500C1"/>
    <w:rsid w:val="00062288"/>
    <w:rsid w:val="00090060"/>
    <w:rsid w:val="000F4F34"/>
    <w:rsid w:val="000F5A4A"/>
    <w:rsid w:val="001021E8"/>
    <w:rsid w:val="001038FC"/>
    <w:rsid w:val="00105FD7"/>
    <w:rsid w:val="001142D1"/>
    <w:rsid w:val="001320FF"/>
    <w:rsid w:val="00134AF4"/>
    <w:rsid w:val="001665F7"/>
    <w:rsid w:val="001B137B"/>
    <w:rsid w:val="001D38A6"/>
    <w:rsid w:val="001F5D8D"/>
    <w:rsid w:val="002011D2"/>
    <w:rsid w:val="0022044C"/>
    <w:rsid w:val="00225960"/>
    <w:rsid w:val="00255AA9"/>
    <w:rsid w:val="00281C30"/>
    <w:rsid w:val="00283322"/>
    <w:rsid w:val="002931B7"/>
    <w:rsid w:val="00295632"/>
    <w:rsid w:val="002C4A1C"/>
    <w:rsid w:val="002C4B7B"/>
    <w:rsid w:val="00310772"/>
    <w:rsid w:val="003242CD"/>
    <w:rsid w:val="00334DDD"/>
    <w:rsid w:val="003350DD"/>
    <w:rsid w:val="00341A19"/>
    <w:rsid w:val="00364FB7"/>
    <w:rsid w:val="00377E52"/>
    <w:rsid w:val="00393FDE"/>
    <w:rsid w:val="003A28B0"/>
    <w:rsid w:val="003A3A9C"/>
    <w:rsid w:val="003B340E"/>
    <w:rsid w:val="003B7676"/>
    <w:rsid w:val="003C1B6E"/>
    <w:rsid w:val="003F6450"/>
    <w:rsid w:val="003F6E8A"/>
    <w:rsid w:val="004159BB"/>
    <w:rsid w:val="0043159A"/>
    <w:rsid w:val="00441863"/>
    <w:rsid w:val="00441E36"/>
    <w:rsid w:val="004513E2"/>
    <w:rsid w:val="00453796"/>
    <w:rsid w:val="0046053B"/>
    <w:rsid w:val="00460D46"/>
    <w:rsid w:val="00467C6F"/>
    <w:rsid w:val="004716F9"/>
    <w:rsid w:val="00495A8B"/>
    <w:rsid w:val="004A283A"/>
    <w:rsid w:val="004A2B73"/>
    <w:rsid w:val="004A5A2F"/>
    <w:rsid w:val="004C5992"/>
    <w:rsid w:val="004D276D"/>
    <w:rsid w:val="004E294B"/>
    <w:rsid w:val="004E71A3"/>
    <w:rsid w:val="005468EC"/>
    <w:rsid w:val="005529FC"/>
    <w:rsid w:val="0056569A"/>
    <w:rsid w:val="005829C1"/>
    <w:rsid w:val="00583E04"/>
    <w:rsid w:val="00590396"/>
    <w:rsid w:val="00596A8E"/>
    <w:rsid w:val="005B0C97"/>
    <w:rsid w:val="005C4A96"/>
    <w:rsid w:val="005E591C"/>
    <w:rsid w:val="005F7D7E"/>
    <w:rsid w:val="00606A3E"/>
    <w:rsid w:val="00627412"/>
    <w:rsid w:val="006A1EA2"/>
    <w:rsid w:val="006A3B14"/>
    <w:rsid w:val="006D1428"/>
    <w:rsid w:val="006E1E8B"/>
    <w:rsid w:val="006E42D4"/>
    <w:rsid w:val="006E6A9D"/>
    <w:rsid w:val="007236A8"/>
    <w:rsid w:val="007315DA"/>
    <w:rsid w:val="0074784C"/>
    <w:rsid w:val="00770912"/>
    <w:rsid w:val="007D2D4B"/>
    <w:rsid w:val="007D7B03"/>
    <w:rsid w:val="007E19FD"/>
    <w:rsid w:val="007E78DB"/>
    <w:rsid w:val="007E7F67"/>
    <w:rsid w:val="007F185A"/>
    <w:rsid w:val="0080320C"/>
    <w:rsid w:val="0084116F"/>
    <w:rsid w:val="0085001E"/>
    <w:rsid w:val="008A5A2E"/>
    <w:rsid w:val="008A5B59"/>
    <w:rsid w:val="008A6EB9"/>
    <w:rsid w:val="008B356C"/>
    <w:rsid w:val="008F6A9F"/>
    <w:rsid w:val="00924F5B"/>
    <w:rsid w:val="009317AD"/>
    <w:rsid w:val="00934A9D"/>
    <w:rsid w:val="009362BF"/>
    <w:rsid w:val="00955FA2"/>
    <w:rsid w:val="00963B97"/>
    <w:rsid w:val="00990FA5"/>
    <w:rsid w:val="009A6A7B"/>
    <w:rsid w:val="009B08E8"/>
    <w:rsid w:val="009E007F"/>
    <w:rsid w:val="00A341E8"/>
    <w:rsid w:val="00A5063E"/>
    <w:rsid w:val="00A5265A"/>
    <w:rsid w:val="00A605DA"/>
    <w:rsid w:val="00A60F92"/>
    <w:rsid w:val="00A620E1"/>
    <w:rsid w:val="00A67E82"/>
    <w:rsid w:val="00AA0D5D"/>
    <w:rsid w:val="00AD5C9E"/>
    <w:rsid w:val="00AD6AC5"/>
    <w:rsid w:val="00AE2D0C"/>
    <w:rsid w:val="00AF6DD1"/>
    <w:rsid w:val="00B13FD0"/>
    <w:rsid w:val="00B2319E"/>
    <w:rsid w:val="00B24A4A"/>
    <w:rsid w:val="00B34168"/>
    <w:rsid w:val="00B61B34"/>
    <w:rsid w:val="00B660D7"/>
    <w:rsid w:val="00B84F72"/>
    <w:rsid w:val="00BB2D09"/>
    <w:rsid w:val="00BB4575"/>
    <w:rsid w:val="00BE4238"/>
    <w:rsid w:val="00C341C4"/>
    <w:rsid w:val="00C55980"/>
    <w:rsid w:val="00C66099"/>
    <w:rsid w:val="00C7792E"/>
    <w:rsid w:val="00CE4E4F"/>
    <w:rsid w:val="00D25101"/>
    <w:rsid w:val="00D40B44"/>
    <w:rsid w:val="00D56E54"/>
    <w:rsid w:val="00D56E87"/>
    <w:rsid w:val="00D645DE"/>
    <w:rsid w:val="00D64FC6"/>
    <w:rsid w:val="00D726E1"/>
    <w:rsid w:val="00D84A06"/>
    <w:rsid w:val="00D93DA1"/>
    <w:rsid w:val="00DC3A38"/>
    <w:rsid w:val="00DD1E2F"/>
    <w:rsid w:val="00DE1A99"/>
    <w:rsid w:val="00DF5B5D"/>
    <w:rsid w:val="00DF67D8"/>
    <w:rsid w:val="00E07DEB"/>
    <w:rsid w:val="00E16E13"/>
    <w:rsid w:val="00E36D82"/>
    <w:rsid w:val="00E4127E"/>
    <w:rsid w:val="00E4540F"/>
    <w:rsid w:val="00E661B7"/>
    <w:rsid w:val="00E67B56"/>
    <w:rsid w:val="00E813A7"/>
    <w:rsid w:val="00E86C5A"/>
    <w:rsid w:val="00E915B1"/>
    <w:rsid w:val="00E93D16"/>
    <w:rsid w:val="00EA37F6"/>
    <w:rsid w:val="00ED14EB"/>
    <w:rsid w:val="00EE6711"/>
    <w:rsid w:val="00F5622C"/>
    <w:rsid w:val="00F653E5"/>
    <w:rsid w:val="00F75178"/>
    <w:rsid w:val="00F77F53"/>
    <w:rsid w:val="00F816F2"/>
    <w:rsid w:val="00F93BA8"/>
    <w:rsid w:val="00FE3591"/>
    <w:rsid w:val="018B1D99"/>
    <w:rsid w:val="03C41772"/>
    <w:rsid w:val="03CF70A2"/>
    <w:rsid w:val="050414F1"/>
    <w:rsid w:val="056D0B77"/>
    <w:rsid w:val="09341002"/>
    <w:rsid w:val="0AB54318"/>
    <w:rsid w:val="15FF3AC7"/>
    <w:rsid w:val="18B22EA8"/>
    <w:rsid w:val="1C274BC0"/>
    <w:rsid w:val="1CFE1E89"/>
    <w:rsid w:val="208E7194"/>
    <w:rsid w:val="268B5DFC"/>
    <w:rsid w:val="270F38F4"/>
    <w:rsid w:val="27172430"/>
    <w:rsid w:val="27BF3329"/>
    <w:rsid w:val="2B3A5D13"/>
    <w:rsid w:val="2B3D283F"/>
    <w:rsid w:val="2C016606"/>
    <w:rsid w:val="3050190A"/>
    <w:rsid w:val="30AE4883"/>
    <w:rsid w:val="33BE302F"/>
    <w:rsid w:val="33D25C91"/>
    <w:rsid w:val="345D5505"/>
    <w:rsid w:val="37C36E66"/>
    <w:rsid w:val="3813030E"/>
    <w:rsid w:val="382D0783"/>
    <w:rsid w:val="41911452"/>
    <w:rsid w:val="46212D59"/>
    <w:rsid w:val="4DFF192C"/>
    <w:rsid w:val="4E983729"/>
    <w:rsid w:val="4ED102FC"/>
    <w:rsid w:val="50924497"/>
    <w:rsid w:val="50BE16C5"/>
    <w:rsid w:val="535F3A8F"/>
    <w:rsid w:val="552458E4"/>
    <w:rsid w:val="577E64AD"/>
    <w:rsid w:val="59C07E8E"/>
    <w:rsid w:val="5E57BCCC"/>
    <w:rsid w:val="60276C23"/>
    <w:rsid w:val="60CE3C62"/>
    <w:rsid w:val="60CE7DCA"/>
    <w:rsid w:val="639B7C75"/>
    <w:rsid w:val="64F85AD1"/>
    <w:rsid w:val="6CF742D3"/>
    <w:rsid w:val="6E191F76"/>
    <w:rsid w:val="6E7C3354"/>
    <w:rsid w:val="6F011A46"/>
    <w:rsid w:val="77795264"/>
    <w:rsid w:val="78AA7075"/>
    <w:rsid w:val="791F1447"/>
    <w:rsid w:val="797A9C53"/>
    <w:rsid w:val="7DC15626"/>
    <w:rsid w:val="7DEBA402"/>
    <w:rsid w:val="7E386D0F"/>
    <w:rsid w:val="7F9B7328"/>
    <w:rsid w:val="7FDB4A41"/>
    <w:rsid w:val="9B5F5628"/>
    <w:rsid w:val="9FF70FFD"/>
    <w:rsid w:val="BF954AAE"/>
    <w:rsid w:val="C7FF2601"/>
    <w:rsid w:val="CFEA405E"/>
    <w:rsid w:val="E77D2EFB"/>
    <w:rsid w:val="F3F8F9C7"/>
    <w:rsid w:val="FAFB0A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semiHidden/>
    <w:unhideWhenUsed/>
    <w:qFormat/>
    <w:uiPriority w:val="99"/>
    <w:pPr>
      <w:spacing w:after="120"/>
    </w:pPr>
    <w:rPr>
      <w:rFonts w:asciiTheme="minorHAnsi" w:hAnsiTheme="minorHAnsi" w:eastAsiaTheme="minorEastAsia" w:cstheme="minorBidi"/>
      <w:szCs w:val="22"/>
    </w:rPr>
  </w:style>
  <w:style w:type="paragraph" w:styleId="3">
    <w:name w:val="annotation text"/>
    <w:basedOn w:val="1"/>
    <w:semiHidden/>
    <w:unhideWhenUsed/>
    <w:qFormat/>
    <w:uiPriority w:val="99"/>
    <w:pPr>
      <w:jc w:val="left"/>
    </w:pPr>
  </w:style>
  <w:style w:type="paragraph" w:styleId="4">
    <w:name w:val="Plain Text"/>
    <w:basedOn w:val="1"/>
    <w:qFormat/>
    <w:uiPriority w:val="0"/>
    <w:rPr>
      <w:rFonts w:ascii="宋体" w:hAnsi="Courier New"/>
    </w:rPr>
  </w:style>
  <w:style w:type="paragraph" w:styleId="5">
    <w:name w:val="Balloon Text"/>
    <w:basedOn w:val="1"/>
    <w:link w:val="14"/>
    <w:semiHidden/>
    <w:unhideWhenUsed/>
    <w:qFormat/>
    <w:uiPriority w:val="99"/>
    <w:rPr>
      <w:rFonts w:asciiTheme="minorHAnsi" w:hAnsiTheme="minorHAnsi" w:eastAsiaTheme="minorEastAsia" w:cstheme="minorBidi"/>
      <w:sz w:val="18"/>
      <w:szCs w:val="18"/>
    </w:rPr>
  </w:style>
  <w:style w:type="paragraph" w:styleId="6">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10">
    <w:name w:val="annotation reference"/>
    <w:basedOn w:val="9"/>
    <w:semiHidden/>
    <w:unhideWhenUsed/>
    <w:qFormat/>
    <w:uiPriority w:val="99"/>
    <w:rPr>
      <w:sz w:val="21"/>
      <w:szCs w:val="21"/>
    </w:rPr>
  </w:style>
  <w:style w:type="character" w:customStyle="1" w:styleId="11">
    <w:name w:val="页眉 Char"/>
    <w:basedOn w:val="9"/>
    <w:link w:val="7"/>
    <w:qFormat/>
    <w:uiPriority w:val="99"/>
    <w:rPr>
      <w:sz w:val="18"/>
      <w:szCs w:val="18"/>
    </w:rPr>
  </w:style>
  <w:style w:type="character" w:customStyle="1" w:styleId="12">
    <w:name w:val="页脚 Char"/>
    <w:basedOn w:val="9"/>
    <w:link w:val="6"/>
    <w:qFormat/>
    <w:uiPriority w:val="99"/>
    <w:rPr>
      <w:sz w:val="18"/>
      <w:szCs w:val="18"/>
    </w:rPr>
  </w:style>
  <w:style w:type="paragraph" w:styleId="13">
    <w:name w:val="List Paragraph"/>
    <w:basedOn w:val="1"/>
    <w:qFormat/>
    <w:uiPriority w:val="34"/>
    <w:pPr>
      <w:ind w:firstLine="420" w:firstLineChars="200"/>
    </w:pPr>
    <w:rPr>
      <w:rFonts w:asciiTheme="minorHAnsi" w:hAnsiTheme="minorHAnsi" w:eastAsiaTheme="minorEastAsia" w:cstheme="minorBidi"/>
      <w:szCs w:val="22"/>
    </w:rPr>
  </w:style>
  <w:style w:type="character" w:customStyle="1" w:styleId="14">
    <w:name w:val="批注框文本 Char"/>
    <w:basedOn w:val="9"/>
    <w:link w:val="5"/>
    <w:semiHidden/>
    <w:qFormat/>
    <w:uiPriority w:val="99"/>
    <w:rPr>
      <w:kern w:val="2"/>
      <w:sz w:val="18"/>
      <w:szCs w:val="18"/>
    </w:rPr>
  </w:style>
  <w:style w:type="character" w:customStyle="1" w:styleId="15">
    <w:name w:val="NormalCharacter"/>
    <w:qFormat/>
    <w:uiPriority w:val="0"/>
  </w:style>
  <w:style w:type="character" w:customStyle="1" w:styleId="16">
    <w:name w:val="正文文本 Char"/>
    <w:basedOn w:val="9"/>
    <w:link w:val="2"/>
    <w:semiHidden/>
    <w:qFormat/>
    <w:uiPriority w:val="99"/>
    <w:rPr>
      <w:kern w:val="2"/>
      <w:sz w:val="21"/>
      <w:szCs w:val="22"/>
    </w:rPr>
  </w:style>
  <w:style w:type="paragraph" w:customStyle="1" w:styleId="17">
    <w:name w:val="正文 New"/>
    <w:qFormat/>
    <w:uiPriority w:val="0"/>
    <w:pPr>
      <w:widowControl w:val="0"/>
      <w:jc w:val="both"/>
    </w:pPr>
    <w:rPr>
      <w:rFonts w:ascii="Calibri" w:hAnsi="Calibri" w:eastAsia="仿宋_GB2312" w:cs="Times New Roman"/>
      <w:sz w:val="32"/>
      <w:szCs w:val="24"/>
      <w:lang w:val="en-US" w:eastAsia="zh-CN" w:bidi="ar-SA"/>
    </w:rPr>
  </w:style>
  <w:style w:type="paragraph" w:customStyle="1" w:styleId="18">
    <w:name w:val="Header or footer|1"/>
    <w:basedOn w:val="1"/>
    <w:qFormat/>
    <w:uiPriority w:val="0"/>
    <w:pPr>
      <w:widowControl w:val="0"/>
      <w:shd w:val="clear" w:color="auto" w:fill="auto"/>
    </w:pPr>
    <w:rPr>
      <w:sz w:val="18"/>
      <w:szCs w:val="18"/>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529635a3-d1ae-472f-9d6a-10de389c45c9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6C153374</paraID>
      <start xmlns="http://schemas.wps.cn/vas-ai-hub/contract-review">69</start>
      <end xmlns="http://schemas.wps.cn/vas-ai-hub/contract-review">70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a5b2a6dc-6a5b-4c2c-97f2-8c1252d497eb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6C153374</paraID>
      <start xmlns="http://schemas.wps.cn/vas-ai-hub/contract-review">103</start>
      <end xmlns="http://schemas.wps.cn/vas-ai-hub/contract-review">105</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ed55c9-e411-49d1-b931-87f83bd9ec0e}">
  <ds:schemaRefs/>
</ds:datastoreItem>
</file>

<file path=customXml/itemProps3.xml><?xml version="1.0" encoding="utf-8"?>
<ds:datastoreItem xmlns:ds="http://schemas.openxmlformats.org/officeDocument/2006/customXml" ds:itemID="{1E279EFF-84CD-4119-9430-DAA3A046D5E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5092</Words>
  <Characters>5178</Characters>
  <Lines>32</Lines>
  <Paragraphs>9</Paragraphs>
  <TotalTime>25</TotalTime>
  <ScaleCrop>false</ScaleCrop>
  <LinksUpToDate>false</LinksUpToDate>
  <CharactersWithSpaces>5216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2022-05-01T03:21:00Z</dcterms:created>
  <dc:creator>Administrator</dc:creator>
  <cp:lastModifiedBy>❤️</cp:lastModifiedBy>
  <cp:lastPrinted>2026-07-03T06:59:00Z</cp:lastPrinted>
  <dcterms:modified xsi:type="dcterms:W3CDTF">2026-10-16T10:06:36Z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TemplateDocerSaveRecord">
    <vt:lpwstr>eyJoZGlkIjoiM2VlZTIzNGI2YTUzODljYzE1YjA3NzhjMmUyOTkzMzMiLCJ1c2VySWQiOiIxMDYzMDc1ODcxIn0=</vt:lpwstr>
  </property>
  <property fmtid="{D5CDD505-2E9C-101B-9397-08002B2CF9AE}" pid="4" name="ICV">
    <vt:lpwstr>BFC7448445714E90B8BA868FFA98D116_13</vt:lpwstr>
  </property>
</Properties>
</file>