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spacing w:line="160" w:lineRule="exact"/>
      </w:pPr>
    </w:p>
    <w:p>
      <w:pPr>
        <w:jc w:val="center"/>
        <w:rPr>
          <w:b/>
          <w:sz w:val="44"/>
          <w:szCs w:val="44"/>
        </w:rPr>
      </w:pPr>
      <w:r>
        <w:rPr>
          <w:rFonts w:hint="eastAsia"/>
          <w:b/>
          <w:sz w:val="44"/>
          <w:szCs w:val="44"/>
        </w:rPr>
        <w:t>始兴县市场监督管理局</w:t>
      </w:r>
    </w:p>
    <w:p>
      <w:pPr>
        <w:jc w:val="center"/>
        <w:rPr>
          <w:b/>
          <w:sz w:val="44"/>
          <w:szCs w:val="44"/>
        </w:rPr>
      </w:pPr>
      <w:r>
        <w:rPr>
          <w:rFonts w:hint="eastAsia"/>
          <w:b/>
          <w:sz w:val="44"/>
          <w:szCs w:val="44"/>
        </w:rPr>
        <w:t>关于食品抽查等相关费用项目资金</w:t>
      </w:r>
    </w:p>
    <w:p>
      <w:pPr>
        <w:jc w:val="center"/>
        <w:rPr>
          <w:b/>
          <w:sz w:val="44"/>
          <w:szCs w:val="44"/>
        </w:rPr>
      </w:pPr>
      <w:r>
        <w:rPr>
          <w:rFonts w:hint="eastAsia"/>
          <w:b/>
          <w:sz w:val="44"/>
          <w:szCs w:val="44"/>
        </w:rPr>
        <w:t>第三方绩效评价报告</w:t>
      </w:r>
    </w:p>
    <w:p>
      <w:pPr>
        <w:spacing w:before="312" w:beforeLines="100" w:after="312" w:afterLines="100"/>
        <w:ind w:firstLine="2160" w:firstLineChars="900"/>
        <w:rPr>
          <w:sz w:val="24"/>
          <w:szCs w:val="24"/>
        </w:rPr>
      </w:pPr>
      <w:r>
        <w:rPr>
          <w:rFonts w:hint="eastAsia"/>
          <w:sz w:val="24"/>
          <w:szCs w:val="24"/>
        </w:rPr>
        <w:t>报告号：韶中一专字[2021]21013340105号</w:t>
      </w:r>
    </w:p>
    <w:p/>
    <w:p/>
    <w:p/>
    <w:p/>
    <w:p/>
    <w:p/>
    <w:p/>
    <w:p/>
    <w:p/>
    <w:p/>
    <w:p/>
    <w:p/>
    <w:p/>
    <w:p/>
    <w:p/>
    <w:p>
      <w:pPr>
        <w:jc w:val="center"/>
        <w:rPr>
          <w:sz w:val="28"/>
          <w:szCs w:val="28"/>
        </w:rPr>
      </w:pPr>
      <w:r>
        <w:rPr>
          <w:rFonts w:hint="eastAsia"/>
          <w:sz w:val="28"/>
          <w:szCs w:val="28"/>
        </w:rPr>
        <w:t>委托单位：广东省始兴县财政局</w:t>
      </w:r>
    </w:p>
    <w:p>
      <w:pPr>
        <w:jc w:val="center"/>
        <w:rPr>
          <w:sz w:val="28"/>
          <w:szCs w:val="28"/>
        </w:rPr>
      </w:pPr>
      <w:r>
        <w:rPr>
          <w:rFonts w:hint="eastAsia"/>
          <w:sz w:val="28"/>
          <w:szCs w:val="28"/>
        </w:rPr>
        <w:t>评价机构：韶关中一会计师事务所有限公司</w:t>
      </w:r>
    </w:p>
    <w:p>
      <w:pPr>
        <w:spacing w:before="156" w:beforeLines="50" w:after="312" w:afterLines="100" w:line="500" w:lineRule="exact"/>
        <w:ind w:firstLine="560" w:firstLineChars="200"/>
        <w:jc w:val="center"/>
        <w:rPr>
          <w:b/>
          <w:bCs/>
          <w:sz w:val="28"/>
          <w:szCs w:val="28"/>
          <w:highlight w:val="yellow"/>
          <w:lang w:val="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sz w:val="28"/>
          <w:szCs w:val="28"/>
        </w:rPr>
        <w:t>二〇二一年十二月三十一日</w:t>
      </w:r>
    </w:p>
    <w:p>
      <w:pPr>
        <w:spacing w:before="156" w:beforeLines="50" w:after="312" w:afterLines="100" w:line="500" w:lineRule="exact"/>
        <w:rPr>
          <w:b/>
          <w:bCs/>
          <w:sz w:val="44"/>
          <w:szCs w:val="44"/>
          <w:highlight w:val="yellow"/>
          <w:lang w:val="zh-CN"/>
        </w:rPr>
      </w:pPr>
    </w:p>
    <w:p>
      <w:pPr>
        <w:spacing w:before="156" w:beforeLines="50" w:after="312" w:afterLines="100" w:line="500" w:lineRule="exact"/>
        <w:ind w:firstLine="643" w:firstLineChars="200"/>
        <w:jc w:val="center"/>
        <w:rPr>
          <w:rFonts w:ascii="仿宋" w:hAnsi="仿宋" w:eastAsia="仿宋"/>
          <w:b/>
          <w:bCs/>
          <w:sz w:val="32"/>
          <w:szCs w:val="32"/>
          <w:lang w:val="zh-CN"/>
        </w:rPr>
      </w:pPr>
      <w:r>
        <w:rPr>
          <w:rFonts w:ascii="仿宋" w:hAnsi="仿宋" w:eastAsia="仿宋"/>
          <w:b/>
          <w:bCs/>
          <w:sz w:val="32"/>
          <w:szCs w:val="32"/>
          <w:lang w:val="zh-CN"/>
        </w:rPr>
        <w:t>目</w:t>
      </w:r>
      <w:r>
        <w:rPr>
          <w:rFonts w:hint="eastAsia" w:ascii="仿宋" w:hAnsi="仿宋" w:eastAsia="仿宋"/>
          <w:b/>
          <w:bCs/>
          <w:sz w:val="32"/>
          <w:szCs w:val="32"/>
        </w:rPr>
        <w:t xml:space="preserve">  </w:t>
      </w:r>
      <w:r>
        <w:rPr>
          <w:rFonts w:ascii="仿宋" w:hAnsi="仿宋" w:eastAsia="仿宋"/>
          <w:b/>
          <w:bCs/>
          <w:sz w:val="32"/>
          <w:szCs w:val="32"/>
          <w:lang w:val="zh-CN"/>
        </w:rPr>
        <w:t>录</w:t>
      </w: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说明</w:t>
      </w:r>
      <w:r>
        <w:rPr>
          <w:rFonts w:ascii="仿宋" w:hAnsi="仿宋" w:eastAsia="仿宋"/>
          <w:bCs/>
          <w:sz w:val="32"/>
          <w:szCs w:val="32"/>
          <w:lang w:val="zh-CN"/>
        </w:rPr>
        <w:t>………………………………………………………</w:t>
      </w:r>
      <w:r>
        <w:rPr>
          <w:rFonts w:hint="eastAsia" w:ascii="仿宋" w:hAnsi="仿宋" w:eastAsia="仿宋"/>
          <w:bCs/>
          <w:sz w:val="32"/>
          <w:szCs w:val="32"/>
          <w:lang w:val="zh-CN"/>
        </w:rPr>
        <w:t>1</w:t>
      </w:r>
    </w:p>
    <w:p>
      <w:pPr>
        <w:spacing w:line="500" w:lineRule="exact"/>
        <w:ind w:firstLine="640" w:firstLineChars="200"/>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一、评价项目概要</w:t>
      </w:r>
      <w:r>
        <w:rPr>
          <w:rFonts w:ascii="仿宋" w:hAnsi="仿宋" w:eastAsia="仿宋"/>
          <w:bCs/>
          <w:sz w:val="32"/>
          <w:szCs w:val="32"/>
          <w:lang w:val="zh-CN"/>
        </w:rPr>
        <w:t>……………………………………</w:t>
      </w:r>
      <w:r>
        <w:rPr>
          <w:rFonts w:hint="eastAsia" w:ascii="仿宋" w:hAnsi="仿宋" w:eastAsia="仿宋"/>
          <w:bCs/>
          <w:sz w:val="32"/>
          <w:szCs w:val="32"/>
          <w:lang w:val="zh-CN"/>
        </w:rPr>
        <w:t>2</w:t>
      </w:r>
      <w:r>
        <w:rPr>
          <w:rFonts w:ascii="仿宋" w:hAnsi="仿宋" w:eastAsia="仿宋"/>
          <w:bCs/>
          <w:sz w:val="32"/>
          <w:szCs w:val="32"/>
          <w:lang w:val="zh-CN"/>
        </w:rPr>
        <w:t>-</w:t>
      </w:r>
      <w:r>
        <w:rPr>
          <w:rFonts w:hint="eastAsia" w:ascii="仿宋" w:hAnsi="仿宋" w:eastAsia="仿宋"/>
          <w:bCs/>
          <w:sz w:val="32"/>
          <w:szCs w:val="32"/>
          <w:lang w:val="zh-CN"/>
        </w:rPr>
        <w:t>3</w:t>
      </w:r>
    </w:p>
    <w:p>
      <w:pPr>
        <w:spacing w:line="500" w:lineRule="exact"/>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 xml:space="preserve">二、评价结论与绩效分析 </w:t>
      </w:r>
      <w:r>
        <w:rPr>
          <w:rFonts w:ascii="仿宋" w:hAnsi="仿宋" w:eastAsia="仿宋"/>
          <w:bCs/>
          <w:sz w:val="32"/>
          <w:szCs w:val="32"/>
          <w:lang w:val="zh-CN"/>
        </w:rPr>
        <w:t xml:space="preserve">………………………… </w:t>
      </w:r>
      <w:r>
        <w:rPr>
          <w:rFonts w:hint="eastAsia" w:ascii="仿宋" w:hAnsi="仿宋" w:eastAsia="仿宋"/>
          <w:bCs/>
          <w:sz w:val="32"/>
          <w:szCs w:val="32"/>
          <w:lang w:val="zh-CN"/>
        </w:rPr>
        <w:t>3</w:t>
      </w:r>
      <w:r>
        <w:rPr>
          <w:rFonts w:ascii="仿宋" w:hAnsi="仿宋" w:eastAsia="仿宋"/>
          <w:bCs/>
          <w:sz w:val="32"/>
          <w:szCs w:val="32"/>
          <w:lang w:val="zh-CN"/>
        </w:rPr>
        <w:t>-</w:t>
      </w:r>
      <w:r>
        <w:rPr>
          <w:rFonts w:hint="eastAsia" w:ascii="仿宋" w:hAnsi="仿宋" w:eastAsia="仿宋"/>
          <w:bCs/>
          <w:sz w:val="32"/>
          <w:szCs w:val="32"/>
          <w:lang w:val="zh-CN"/>
        </w:rPr>
        <w:t>6</w:t>
      </w:r>
    </w:p>
    <w:p>
      <w:pPr>
        <w:spacing w:line="500" w:lineRule="exact"/>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 xml:space="preserve">三、主要绩效 </w:t>
      </w:r>
      <w:r>
        <w:rPr>
          <w:rFonts w:ascii="仿宋" w:hAnsi="仿宋" w:eastAsia="仿宋"/>
          <w:bCs/>
          <w:sz w:val="32"/>
          <w:szCs w:val="32"/>
          <w:lang w:val="zh-CN"/>
        </w:rPr>
        <w:t>………………………………………</w:t>
      </w:r>
      <w:r>
        <w:rPr>
          <w:rFonts w:hint="eastAsia" w:ascii="仿宋" w:hAnsi="仿宋" w:eastAsia="仿宋"/>
          <w:bCs/>
          <w:sz w:val="32"/>
          <w:szCs w:val="32"/>
          <w:lang w:val="zh-CN"/>
        </w:rPr>
        <w:t xml:space="preserve"> 6-7</w:t>
      </w:r>
    </w:p>
    <w:p>
      <w:pPr>
        <w:spacing w:line="500" w:lineRule="exact"/>
        <w:ind w:firstLine="640" w:firstLineChars="200"/>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四、存在问题</w:t>
      </w:r>
      <w:r>
        <w:rPr>
          <w:rFonts w:ascii="仿宋" w:hAnsi="仿宋" w:eastAsia="仿宋"/>
          <w:bCs/>
          <w:sz w:val="32"/>
          <w:szCs w:val="32"/>
          <w:lang w:val="zh-CN"/>
        </w:rPr>
        <w:t>……………………………………………</w:t>
      </w:r>
      <w:r>
        <w:rPr>
          <w:rFonts w:hint="eastAsia" w:ascii="仿宋" w:hAnsi="仿宋" w:eastAsia="仿宋"/>
          <w:bCs/>
          <w:sz w:val="32"/>
          <w:szCs w:val="32"/>
          <w:lang w:val="zh-CN"/>
        </w:rPr>
        <w:t>7</w:t>
      </w:r>
    </w:p>
    <w:p>
      <w:pPr>
        <w:spacing w:line="500" w:lineRule="exact"/>
        <w:ind w:firstLine="960" w:firstLineChars="300"/>
        <w:rPr>
          <w:rFonts w:ascii="仿宋" w:hAnsi="仿宋" w:eastAsia="仿宋"/>
          <w:bCs/>
          <w:sz w:val="32"/>
          <w:szCs w:val="32"/>
          <w:lang w:val="zh-CN"/>
        </w:rPr>
      </w:pPr>
    </w:p>
    <w:p>
      <w:pPr>
        <w:spacing w:line="500" w:lineRule="exact"/>
        <w:ind w:firstLine="640" w:firstLineChars="200"/>
        <w:rPr>
          <w:rFonts w:ascii="仿宋" w:hAnsi="仿宋" w:eastAsia="仿宋"/>
          <w:bCs/>
          <w:sz w:val="32"/>
          <w:szCs w:val="32"/>
          <w:lang w:val="zh-CN"/>
        </w:rPr>
      </w:pPr>
      <w:r>
        <w:rPr>
          <w:rFonts w:hint="eastAsia" w:ascii="仿宋" w:hAnsi="仿宋" w:eastAsia="仿宋"/>
          <w:bCs/>
          <w:sz w:val="32"/>
          <w:szCs w:val="32"/>
          <w:lang w:val="zh-CN"/>
        </w:rPr>
        <w:t>五、相关建议</w:t>
      </w:r>
      <w:r>
        <w:rPr>
          <w:rFonts w:ascii="仿宋" w:hAnsi="仿宋" w:eastAsia="仿宋"/>
          <w:bCs/>
          <w:sz w:val="32"/>
          <w:szCs w:val="32"/>
          <w:lang w:val="zh-CN"/>
        </w:rPr>
        <w:t>……………………………………………</w:t>
      </w:r>
      <w:r>
        <w:rPr>
          <w:rFonts w:hint="eastAsia" w:ascii="仿宋" w:hAnsi="仿宋" w:eastAsia="仿宋"/>
          <w:bCs/>
          <w:sz w:val="32"/>
          <w:szCs w:val="32"/>
          <w:lang w:val="zh-CN"/>
        </w:rPr>
        <w:t>8</w:t>
      </w:r>
    </w:p>
    <w:p>
      <w:pPr>
        <w:spacing w:line="500" w:lineRule="exact"/>
        <w:ind w:firstLine="960" w:firstLineChars="300"/>
        <w:rPr>
          <w:rFonts w:ascii="仿宋" w:hAnsi="仿宋" w:eastAsia="仿宋"/>
          <w:bCs/>
          <w:sz w:val="32"/>
          <w:szCs w:val="32"/>
          <w:lang w:val="zh-CN"/>
        </w:rPr>
      </w:pPr>
    </w:p>
    <w:p>
      <w:pPr>
        <w:ind w:firstLine="640" w:firstLineChars="200"/>
        <w:rPr>
          <w:rFonts w:ascii="仿宋" w:hAnsi="仿宋" w:eastAsia="仿宋"/>
          <w:bCs/>
          <w:sz w:val="32"/>
          <w:szCs w:val="32"/>
          <w:lang w:val="zh-CN"/>
        </w:rPr>
      </w:pPr>
      <w:r>
        <w:rPr>
          <w:rFonts w:hint="eastAsia" w:ascii="仿宋" w:hAnsi="仿宋" w:eastAsia="仿宋"/>
          <w:bCs/>
          <w:sz w:val="32"/>
          <w:szCs w:val="32"/>
          <w:lang w:val="zh-CN"/>
        </w:rPr>
        <w:t xml:space="preserve">六、其他需要说明的问题 </w:t>
      </w:r>
      <w:r>
        <w:rPr>
          <w:rFonts w:ascii="仿宋" w:hAnsi="仿宋" w:eastAsia="仿宋"/>
          <w:bCs/>
          <w:sz w:val="32"/>
          <w:szCs w:val="32"/>
          <w:lang w:val="zh-CN"/>
        </w:rPr>
        <w:t>…………………………</w:t>
      </w:r>
      <w:r>
        <w:rPr>
          <w:rFonts w:hint="eastAsia" w:ascii="仿宋" w:hAnsi="仿宋" w:eastAsia="仿宋"/>
          <w:bCs/>
          <w:sz w:val="32"/>
          <w:szCs w:val="32"/>
          <w:lang w:val="zh-CN"/>
        </w:rPr>
        <w:t xml:space="preserve">8-9 </w:t>
      </w:r>
    </w:p>
    <w:p>
      <w:pPr>
        <w:ind w:firstLine="640" w:firstLineChars="200"/>
        <w:rPr>
          <w:rFonts w:ascii="仿宋" w:hAnsi="仿宋" w:eastAsia="仿宋"/>
          <w:bCs/>
          <w:sz w:val="32"/>
          <w:szCs w:val="32"/>
          <w:lang w:val="zh-CN"/>
        </w:rPr>
      </w:pPr>
    </w:p>
    <w:p>
      <w:pPr>
        <w:rPr>
          <w:rFonts w:asciiTheme="minorEastAsia" w:hAnsiTheme="minorEastAsia"/>
          <w:b/>
          <w:spacing w:val="5"/>
          <w:kern w:val="0"/>
          <w:sz w:val="44"/>
          <w:szCs w:val="44"/>
        </w:rPr>
      </w:pPr>
      <w:bookmarkStart w:id="4" w:name="_GoBack"/>
      <w:bookmarkEnd w:id="4"/>
    </w:p>
    <w:p>
      <w:pPr>
        <w:rPr>
          <w:rFonts w:asciiTheme="minorEastAsia" w:hAnsiTheme="minorEastAsia"/>
          <w:b/>
          <w:spacing w:val="5"/>
          <w:kern w:val="0"/>
          <w:sz w:val="44"/>
          <w:szCs w:val="44"/>
        </w:rPr>
      </w:pPr>
    </w:p>
    <w:p>
      <w:pPr>
        <w:rPr>
          <w:rFonts w:asciiTheme="minorEastAsia" w:hAnsiTheme="minorEastAsia"/>
          <w:b/>
          <w:spacing w:val="5"/>
          <w:kern w:val="0"/>
          <w:sz w:val="44"/>
          <w:szCs w:val="44"/>
        </w:rPr>
      </w:pPr>
    </w:p>
    <w:p>
      <w:pPr>
        <w:rPr>
          <w:rFonts w:asciiTheme="minorEastAsia" w:hAnsiTheme="minorEastAsia"/>
          <w:b/>
          <w:spacing w:val="5"/>
          <w:kern w:val="0"/>
          <w:sz w:val="44"/>
          <w:szCs w:val="44"/>
        </w:rPr>
      </w:pPr>
    </w:p>
    <w:p>
      <w:pPr>
        <w:pStyle w:val="6"/>
        <w:spacing w:before="156" w:beforeLines="50" w:beforeAutospacing="0" w:after="156" w:afterLines="50" w:afterAutospacing="0" w:line="560" w:lineRule="exact"/>
        <w:rPr>
          <w:rFonts w:asciiTheme="minorEastAsia" w:hAnsiTheme="minorEastAsia" w:eastAsiaTheme="minorEastAsia"/>
          <w:b/>
          <w:spacing w:val="5"/>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rPr>
          <w:rFonts w:ascii="仿宋" w:hAnsi="仿宋" w:eastAsia="仿宋" w:cs="宋体"/>
          <w:bCs w:val="0"/>
          <w:spacing w:val="5"/>
          <w:kern w:val="0"/>
          <w:sz w:val="32"/>
          <w:szCs w:val="32"/>
        </w:rPr>
      </w:pPr>
      <w:bookmarkStart w:id="0" w:name="_Toc77326413"/>
      <w:bookmarkStart w:id="1" w:name="_Toc67905118"/>
      <w:bookmarkStart w:id="2" w:name="_Toc258"/>
      <w:bookmarkStart w:id="3" w:name="_Toc32414603"/>
      <w:r>
        <w:rPr>
          <w:rFonts w:hint="eastAsia" w:ascii="仿宋" w:hAnsi="仿宋" w:eastAsia="仿宋" w:cs="宋体"/>
          <w:bCs w:val="0"/>
          <w:spacing w:val="5"/>
          <w:kern w:val="0"/>
          <w:sz w:val="32"/>
          <w:szCs w:val="32"/>
        </w:rPr>
        <w:t>说  明</w:t>
      </w:r>
      <w:bookmarkEnd w:id="0"/>
      <w:bookmarkEnd w:id="1"/>
      <w:bookmarkEnd w:id="2"/>
      <w:bookmarkEnd w:id="3"/>
    </w:p>
    <w:p>
      <w:pPr>
        <w:spacing w:line="360" w:lineRule="auto"/>
        <w:ind w:firstLine="660" w:firstLineChars="200"/>
        <w:rPr>
          <w:rFonts w:ascii="仿宋" w:hAnsi="仿宋" w:eastAsia="仿宋" w:cs="仿宋"/>
          <w:spacing w:val="5"/>
          <w:kern w:val="0"/>
          <w:sz w:val="32"/>
          <w:szCs w:val="32"/>
        </w:rPr>
      </w:pPr>
      <w:r>
        <w:rPr>
          <w:rFonts w:hint="eastAsia" w:ascii="仿宋" w:hAnsi="仿宋" w:eastAsia="仿宋" w:cs="仿宋"/>
          <w:spacing w:val="5"/>
          <w:kern w:val="0"/>
          <w:sz w:val="32"/>
          <w:szCs w:val="32"/>
        </w:rPr>
        <w:t>为加强财政资金支出管理，</w:t>
      </w:r>
      <w:r>
        <w:rPr>
          <w:rFonts w:hint="eastAsia" w:ascii="仿宋" w:hAnsi="仿宋" w:eastAsia="仿宋" w:cs="仿宋"/>
          <w:sz w:val="32"/>
          <w:szCs w:val="32"/>
        </w:rPr>
        <w:t>促进资金主管部门树立绩效观念，进一步规范和完善财政资金支出绩效评价工作</w:t>
      </w:r>
      <w:r>
        <w:rPr>
          <w:rFonts w:hint="eastAsia" w:ascii="仿宋" w:hAnsi="仿宋" w:eastAsia="仿宋" w:cs="仿宋"/>
          <w:spacing w:val="5"/>
          <w:kern w:val="0"/>
          <w:sz w:val="32"/>
          <w:szCs w:val="32"/>
        </w:rPr>
        <w:t>，始兴县财政局委托</w:t>
      </w:r>
      <w:r>
        <w:rPr>
          <w:rFonts w:hint="eastAsia" w:ascii="仿宋" w:hAnsi="仿宋" w:eastAsia="仿宋" w:cs="仿宋"/>
          <w:sz w:val="32"/>
          <w:szCs w:val="32"/>
        </w:rPr>
        <w:t>韶关中一会计师事务所有限公司（以下简称“中一事务所”）</w:t>
      </w:r>
      <w:r>
        <w:rPr>
          <w:rFonts w:hint="eastAsia" w:ascii="仿宋" w:hAnsi="仿宋" w:eastAsia="仿宋" w:cs="仿宋"/>
          <w:spacing w:val="5"/>
          <w:kern w:val="0"/>
          <w:sz w:val="32"/>
          <w:szCs w:val="32"/>
        </w:rPr>
        <w:t>对始兴县市场监督管理局关于食品抽查等相关费用项目资金开展绩效评价。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2021年11月13日至2021年12月17日，中一事务所始兴县市场监督管理局关于食品抽查等相关费用项目资金开展绩效评价。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次部门整体支出绩效评价工作遵循“客观、公正、科学、规范”的原则，根据始兴县市场监督管理局2020年初设定的绩效目标，设置合理的评价指标及标准，运用比较法、成本效益分析法和公众评判法等评价方法，对始兴县市场监督管理局关于食品抽查等相关费用项目资金支出的全过程及其履行职责的经济性、效率性、效果性和公平性进行评价。</w:t>
      </w:r>
    </w:p>
    <w:p>
      <w:pPr>
        <w:pStyle w:val="6"/>
        <w:spacing w:before="156" w:beforeLines="50" w:beforeAutospacing="0" w:after="156" w:afterLines="50" w:afterAutospacing="0" w:line="560" w:lineRule="exact"/>
        <w:ind w:firstLine="640" w:firstLineChars="200"/>
        <w:rPr>
          <w:rFonts w:asciiTheme="minorEastAsia" w:hAnsiTheme="minorEastAsia" w:eastAsiaTheme="minorEastAsia"/>
          <w:b/>
          <w:spacing w:val="5"/>
          <w:sz w:val="32"/>
          <w:szCs w:val="32"/>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32"/>
          <w:szCs w:val="32"/>
        </w:rPr>
        <w:t>本报告由中一事务所独立完成。</w:t>
      </w:r>
    </w:p>
    <w:p>
      <w:pPr>
        <w:pStyle w:val="6"/>
        <w:numPr>
          <w:ilvl w:val="0"/>
          <w:numId w:val="1"/>
        </w:numPr>
        <w:spacing w:before="0" w:beforeAutospacing="0" w:after="0" w:afterAutospacing="0" w:line="560" w:lineRule="exact"/>
        <w:rPr>
          <w:rFonts w:ascii="仿宋" w:hAnsi="仿宋" w:eastAsia="仿宋"/>
          <w:sz w:val="32"/>
          <w:szCs w:val="32"/>
        </w:rPr>
      </w:pPr>
      <w:r>
        <w:rPr>
          <w:rFonts w:hint="eastAsia" w:ascii="仿宋" w:hAnsi="仿宋" w:eastAsia="仿宋"/>
          <w:b/>
          <w:spacing w:val="5"/>
          <w:sz w:val="32"/>
          <w:szCs w:val="32"/>
        </w:rPr>
        <w:t>评价项目概要</w:t>
      </w:r>
    </w:p>
    <w:p>
      <w:pPr>
        <w:pStyle w:val="6"/>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cs="Times New Roman"/>
          <w:spacing w:val="5"/>
          <w:sz w:val="32"/>
          <w:szCs w:val="32"/>
        </w:rPr>
        <w:t>项目背景</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t>食品药品安全事关人民群众生命安全和身体健康，是重大的民生和公共安全问题，也是全面建成小康社会的重要保障。</w:t>
      </w:r>
      <w:r>
        <w:rPr>
          <w:rFonts w:hint="eastAsia" w:ascii="仿宋" w:hAnsi="仿宋" w:eastAsia="仿宋" w:cs="Times New Roman"/>
          <w:spacing w:val="5"/>
          <w:sz w:val="32"/>
          <w:szCs w:val="32"/>
        </w:rPr>
        <w:t>为贯彻落实《中共中央 国务院关于深化改革加强食品安全工作的意见》《广东省食品药品安全“十三五”规划（2016—2020年）》《2020年韶关市落实食品检测量“每千人5批次”工作实施方案》及省政府民生实事有关工作决策部署，进一步树牢以人民为中心的发展理念，切实保障人民群众食品消费安全，始兴县食品安全委员会办公室制订了《2020年始兴落实食品检验量“每千人5批次”工作实施方案》（始食安委办（2020）2号）,始兴县市场监督管理局根据此方案逐步开展抽检工作。</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w:t>
      </w:r>
      <w:r>
        <w:rPr>
          <w:rFonts w:ascii="仿宋" w:hAnsi="仿宋" w:eastAsia="仿宋" w:cs="Times New Roman"/>
          <w:spacing w:val="5"/>
          <w:sz w:val="32"/>
          <w:szCs w:val="32"/>
        </w:rPr>
        <w:t>绩效</w:t>
      </w:r>
      <w:r>
        <w:rPr>
          <w:rFonts w:hint="eastAsia" w:ascii="仿宋" w:hAnsi="仿宋" w:eastAsia="仿宋" w:cs="Times New Roman"/>
          <w:spacing w:val="5"/>
          <w:sz w:val="32"/>
          <w:szCs w:val="32"/>
        </w:rPr>
        <w:t>目</w:t>
      </w:r>
      <w:r>
        <w:rPr>
          <w:rFonts w:ascii="仿宋" w:hAnsi="仿宋" w:eastAsia="仿宋" w:cs="Times New Roman"/>
          <w:spacing w:val="5"/>
          <w:sz w:val="32"/>
          <w:szCs w:val="32"/>
        </w:rPr>
        <w:t>标</w:t>
      </w:r>
      <w:r>
        <w:rPr>
          <w:rFonts w:hint="eastAsia" w:ascii="仿宋" w:hAnsi="仿宋" w:eastAsia="仿宋" w:cs="Times New Roman"/>
          <w:spacing w:val="5"/>
          <w:sz w:val="32"/>
          <w:szCs w:val="32"/>
        </w:rPr>
        <w:t xml:space="preserve"> </w:t>
      </w:r>
      <w:r>
        <w:rPr>
          <w:rFonts w:ascii="仿宋" w:hAnsi="仿宋" w:eastAsia="仿宋" w:cs="Times New Roman"/>
          <w:spacing w:val="5"/>
          <w:sz w:val="32"/>
          <w:szCs w:val="32"/>
        </w:rPr>
        <w:br w:type="textWrapping"/>
      </w:r>
      <w:r>
        <w:rPr>
          <w:rFonts w:ascii="仿宋" w:hAnsi="仿宋" w:eastAsia="仿宋" w:cs="Times New Roman"/>
          <w:spacing w:val="5"/>
          <w:sz w:val="32"/>
          <w:szCs w:val="32"/>
        </w:rPr>
        <w:t>根据省政府民生实事工作有关决策部署和《</w:t>
      </w:r>
      <w:r>
        <w:rPr>
          <w:rFonts w:hint="eastAsia" w:ascii="仿宋" w:hAnsi="仿宋" w:eastAsia="仿宋" w:cs="Times New Roman"/>
          <w:spacing w:val="5"/>
          <w:sz w:val="32"/>
          <w:szCs w:val="32"/>
        </w:rPr>
        <w:t>广东省食品药品安全“十三五”规划（2016—2020年）》的</w:t>
      </w:r>
      <w:r>
        <w:rPr>
          <w:rFonts w:ascii="仿宋" w:hAnsi="仿宋" w:eastAsia="仿宋" w:cs="Times New Roman"/>
          <w:spacing w:val="5"/>
          <w:sz w:val="32"/>
          <w:szCs w:val="32"/>
        </w:rPr>
        <w:t>要求，</w:t>
      </w:r>
      <w:r>
        <w:rPr>
          <w:rFonts w:hint="eastAsia" w:ascii="仿宋" w:hAnsi="仿宋" w:eastAsia="仿宋" w:cs="Times New Roman"/>
          <w:spacing w:val="5"/>
          <w:sz w:val="32"/>
          <w:szCs w:val="32"/>
        </w:rPr>
        <w:t>2020</w:t>
      </w:r>
      <w:r>
        <w:rPr>
          <w:rFonts w:ascii="仿宋" w:hAnsi="仿宋" w:eastAsia="仿宋" w:cs="Times New Roman"/>
          <w:spacing w:val="5"/>
          <w:sz w:val="32"/>
          <w:szCs w:val="32"/>
        </w:rPr>
        <w:t>年</w:t>
      </w:r>
      <w:r>
        <w:rPr>
          <w:rFonts w:hint="eastAsia" w:ascii="仿宋" w:hAnsi="仿宋" w:eastAsia="仿宋" w:cs="Times New Roman"/>
          <w:spacing w:val="5"/>
          <w:sz w:val="32"/>
          <w:szCs w:val="32"/>
        </w:rPr>
        <w:t>资金</w:t>
      </w:r>
      <w:r>
        <w:rPr>
          <w:rFonts w:ascii="仿宋" w:hAnsi="仿宋" w:eastAsia="仿宋" w:cs="Times New Roman"/>
          <w:spacing w:val="5"/>
          <w:sz w:val="32"/>
          <w:szCs w:val="32"/>
        </w:rPr>
        <w:t>绩效目标为:通过食品抽检及监管专项资金的投入，</w:t>
      </w:r>
      <w:r>
        <w:rPr>
          <w:rFonts w:hint="eastAsia" w:ascii="仿宋" w:hAnsi="仿宋" w:eastAsia="仿宋" w:cs="Times New Roman"/>
          <w:spacing w:val="5"/>
          <w:sz w:val="32"/>
          <w:szCs w:val="32"/>
        </w:rPr>
        <w:t>计划2020年始兴县“每千人5批次”食品抽检任务数为500批次。全面开展食品、药品监督抽检，达到食品、药品、农产品抽检任务完成率100%，及时发现和处置食品安全问题，落实生产经营企业食品安全主体责任，食品药品安全风险管控水平逐步提高，市场环境得到进一步净化。</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（三）</w:t>
      </w:r>
      <w:r>
        <w:rPr>
          <w:rFonts w:ascii="仿宋" w:hAnsi="仿宋" w:eastAsia="仿宋" w:cs="Times New Roman"/>
          <w:spacing w:val="5"/>
          <w:sz w:val="32"/>
          <w:szCs w:val="32"/>
        </w:rPr>
        <w:t>评价金额及支出情况</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t>经</w:t>
      </w:r>
      <w:r>
        <w:rPr>
          <w:rFonts w:hint="eastAsia" w:ascii="仿宋" w:hAnsi="仿宋" w:eastAsia="仿宋" w:cs="Times New Roman"/>
          <w:spacing w:val="5"/>
          <w:sz w:val="32"/>
          <w:szCs w:val="32"/>
        </w:rPr>
        <w:t>县财政</w:t>
      </w:r>
      <w:r>
        <w:rPr>
          <w:rFonts w:ascii="仿宋" w:hAnsi="仿宋" w:eastAsia="仿宋" w:cs="Times New Roman"/>
          <w:spacing w:val="5"/>
          <w:sz w:val="32"/>
          <w:szCs w:val="32"/>
        </w:rPr>
        <w:t>同意，</w:t>
      </w:r>
      <w:r>
        <w:rPr>
          <w:rFonts w:hint="eastAsia" w:ascii="仿宋" w:hAnsi="仿宋" w:eastAsia="仿宋" w:cs="Times New Roman"/>
          <w:spacing w:val="5"/>
          <w:sz w:val="32"/>
          <w:szCs w:val="32"/>
        </w:rPr>
        <w:t>2020</w:t>
      </w:r>
      <w:r>
        <w:rPr>
          <w:rFonts w:ascii="仿宋" w:hAnsi="仿宋" w:eastAsia="仿宋" w:cs="Times New Roman"/>
          <w:spacing w:val="5"/>
          <w:sz w:val="32"/>
          <w:szCs w:val="32"/>
        </w:rPr>
        <w:t>年食品药品安全专项资金</w:t>
      </w:r>
      <w:r>
        <w:rPr>
          <w:rFonts w:hint="eastAsia" w:ascii="仿宋" w:hAnsi="仿宋" w:eastAsia="仿宋" w:cs="Times New Roman"/>
          <w:spacing w:val="5"/>
          <w:sz w:val="32"/>
          <w:szCs w:val="32"/>
        </w:rPr>
        <w:t>预算为39</w:t>
      </w:r>
      <w:r>
        <w:rPr>
          <w:rFonts w:ascii="仿宋" w:hAnsi="仿宋" w:eastAsia="仿宋" w:cs="Times New Roman"/>
          <w:spacing w:val="5"/>
          <w:sz w:val="32"/>
          <w:szCs w:val="32"/>
        </w:rPr>
        <w:t>万元，其中</w:t>
      </w:r>
      <w:r>
        <w:rPr>
          <w:rFonts w:hint="eastAsia" w:ascii="仿宋" w:hAnsi="仿宋" w:eastAsia="仿宋" w:cs="Times New Roman"/>
          <w:spacing w:val="5"/>
          <w:sz w:val="32"/>
          <w:szCs w:val="32"/>
        </w:rPr>
        <w:t>食品药品安全工作经费（含举报奖励）6</w:t>
      </w:r>
      <w:r>
        <w:rPr>
          <w:rFonts w:ascii="仿宋" w:hAnsi="仿宋" w:eastAsia="仿宋" w:cs="Times New Roman"/>
          <w:spacing w:val="5"/>
          <w:sz w:val="32"/>
          <w:szCs w:val="32"/>
        </w:rPr>
        <w:t>万元，</w:t>
      </w:r>
      <w:r>
        <w:rPr>
          <w:rFonts w:hint="eastAsia" w:ascii="仿宋" w:hAnsi="仿宋" w:eastAsia="仿宋" w:cs="Times New Roman"/>
          <w:spacing w:val="5"/>
          <w:sz w:val="32"/>
          <w:szCs w:val="32"/>
        </w:rPr>
        <w:t>全年食品督查抽检费用20万元，县工业产品（含食品相关产品）质量安全抽样检测、监管专项经费3万元，开展农贸市场收益农产品快速检测工作项目经费10万元。</w:t>
      </w:r>
    </w:p>
    <w:p>
      <w:pPr>
        <w:spacing w:line="620" w:lineRule="exact"/>
        <w:ind w:firstLine="660" w:firstLineChars="200"/>
        <w:rPr>
          <w:rFonts w:ascii="仿宋" w:hAnsi="仿宋" w:eastAsia="仿宋"/>
          <w:spacing w:val="5"/>
          <w:kern w:val="0"/>
          <w:sz w:val="32"/>
          <w:szCs w:val="32"/>
        </w:rPr>
      </w:pPr>
      <w:r>
        <w:rPr>
          <w:rFonts w:hint="eastAsia" w:ascii="仿宋" w:hAnsi="仿宋" w:eastAsia="仿宋"/>
          <w:spacing w:val="5"/>
          <w:sz w:val="32"/>
          <w:szCs w:val="32"/>
        </w:rPr>
        <w:t>截至2020年12月31日，2020年食品抽查等相关费用整体支出为38.46万元。</w:t>
      </w:r>
      <w:r>
        <w:rPr>
          <w:rFonts w:hint="eastAsia" w:ascii="仿宋" w:hAnsi="仿宋" w:eastAsia="仿宋"/>
          <w:spacing w:val="5"/>
          <w:kern w:val="0"/>
          <w:sz w:val="32"/>
          <w:szCs w:val="32"/>
        </w:rPr>
        <w:t>主要列支范围如下：</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（1）县财政直接支付食品督查抽检费用19.46万元，收款单位为深圳市中鼎检测技术有限公司。</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（2）食品药品安全工作经费（含举报奖励）6万元，其中举报奖励0.1万元，宣传资料、横幅2.4946万元，明厨亮灶0.669万元，培训、耗材费2.7364万元。</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（3）开展农贸市场收益农产品快速检测工作项目经费10万元，其中农产品快检费用1.6986万元，农产品快检人员费用8.3014万元。</w:t>
      </w:r>
    </w:p>
    <w:p>
      <w:pPr>
        <w:spacing w:line="620" w:lineRule="exact"/>
        <w:ind w:firstLine="660" w:firstLineChars="200"/>
        <w:rPr>
          <w:rFonts w:ascii="仿宋" w:hAnsi="仿宋" w:eastAsia="仿宋"/>
          <w:spacing w:val="5"/>
          <w:sz w:val="32"/>
          <w:szCs w:val="32"/>
        </w:rPr>
      </w:pPr>
      <w:r>
        <w:rPr>
          <w:rFonts w:hint="eastAsia" w:ascii="仿宋" w:hAnsi="仿宋" w:eastAsia="仿宋"/>
          <w:spacing w:val="5"/>
          <w:sz w:val="32"/>
          <w:szCs w:val="32"/>
        </w:rPr>
        <w:t>（4）县工业产品（含食品相关产品）质量安全抽样检测、监管专项经费3万元，收款单位为广东省韶关市质量计量监督检测所。</w:t>
      </w:r>
    </w:p>
    <w:p>
      <w:pPr>
        <w:pStyle w:val="6"/>
        <w:numPr>
          <w:ilvl w:val="0"/>
          <w:numId w:val="1"/>
        </w:numPr>
        <w:spacing w:before="0" w:beforeAutospacing="0" w:after="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评价结论与绩效分析</w:t>
      </w:r>
    </w:p>
    <w:p>
      <w:pPr>
        <w:pStyle w:val="6"/>
        <w:spacing w:before="156" w:beforeLines="50" w:beforeAutospacing="0" w:after="156" w:afterLines="50" w:afterAutospacing="0" w:line="560" w:lineRule="exact"/>
        <w:jc w:val="center"/>
        <w:rPr>
          <w:rFonts w:ascii="仿宋" w:hAnsi="仿宋" w:eastAsia="仿宋" w:cs="Times New Roman"/>
          <w:b/>
          <w:spacing w:val="5"/>
          <w:sz w:val="32"/>
          <w:szCs w:val="32"/>
        </w:rPr>
      </w:pPr>
      <w:r>
        <w:drawing>
          <wp:anchor distT="0" distB="0" distL="114300" distR="114300" simplePos="0" relativeHeight="251661312" behindDoc="0" locked="0" layoutInCell="1" allowOverlap="1">
            <wp:simplePos x="0" y="0"/>
            <wp:positionH relativeFrom="margin">
              <wp:posOffset>389890</wp:posOffset>
            </wp:positionH>
            <wp:positionV relativeFrom="margin">
              <wp:posOffset>7358380</wp:posOffset>
            </wp:positionV>
            <wp:extent cx="4319905" cy="1497330"/>
            <wp:effectExtent l="0" t="0" r="4445"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20000" cy="1497378"/>
                    </a:xfrm>
                    <a:prstGeom prst="rect">
                      <a:avLst/>
                    </a:prstGeom>
                    <a:noFill/>
                    <a:ln>
                      <a:noFill/>
                    </a:ln>
                  </pic:spPr>
                </pic:pic>
              </a:graphicData>
            </a:graphic>
          </wp:anchor>
        </w:drawing>
      </w:r>
    </w:p>
    <w:p>
      <w:pPr>
        <w:pStyle w:val="6"/>
        <w:spacing w:before="156" w:beforeLines="50" w:beforeAutospacing="0" w:after="156" w:afterLines="50" w:afterAutospacing="0" w:line="560" w:lineRule="exact"/>
        <w:jc w:val="center"/>
        <w:rPr>
          <w:rFonts w:ascii="仿宋" w:hAnsi="仿宋" w:eastAsia="仿宋" w:cs="Times New Roman"/>
          <w:b/>
          <w:spacing w:val="5"/>
          <w:sz w:val="32"/>
          <w:szCs w:val="32"/>
        </w:rPr>
      </w:pPr>
    </w:p>
    <w:p>
      <w:pPr>
        <w:pStyle w:val="6"/>
        <w:spacing w:before="156" w:beforeLines="50" w:beforeAutospacing="0" w:after="156" w:afterLines="50" w:afterAutospacing="0" w:line="560" w:lineRule="exact"/>
        <w:jc w:val="center"/>
        <w:rPr>
          <w:rFonts w:ascii="仿宋" w:hAnsi="仿宋" w:eastAsia="仿宋" w:cs="Times New Roman"/>
          <w:b/>
          <w:spacing w:val="5"/>
          <w:sz w:val="32"/>
          <w:szCs w:val="32"/>
        </w:rPr>
      </w:pP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（一）总体结论</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通过对项目主管部门、资金使用单位提供的相关材料进行书面评价，总体看来，项目主管单位对加强食品药品安全监督检测持续发力，保障民众食品安全利益，完成了食品、药品、农产品监督抽检任务，完成率达到100%，及时发现和处置食品安全问题，督促食品经营企业诚信经营。但在资金支出规范性、项目实施程序、可持续发展方面存在一定的问题。本项目自评得分为100分，评审得分为97分，等级为“优”。</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（二）各项目评价指标分析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1、投入合理性分析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该指标分值20分，评审得分20分，得分率为100%。从评价指标得分情况看，在论证决策上，论证充分性方面完成较好，论证决策过程完备，提供了向上级请示经费的申请；在目标设置上，完整性、合理性、可衡量性达到预期效果；在资金落实上，计划安排合理性，资金到位及时、资金分配合理。</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2、过程分析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该指标分值20分，评审得分19分，得分率为95%。主要绩效完成食品、药品、农产品监督抽查，开展食品生产提质行动，多措并举形成联动机制，保障民众食品药品安全。从评价指标得分情况看，该项目在资金支出率高，资金支出金额达到预算额度；但会计记账较不规范。在程序规范性和监管有效性方面做得较好，项目合同程序管理较为规范，资金拨付时，由各服务单位申请、各级领导复核签字后，提供正规发票、合同以及相关附件。</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3、产出分析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该指标分值30分，评审得分30分，得分率为100%。主要绩效为食品抽检超额完成全年任务，按每千人5批次的要求，始兴县食品抽检任务为500批次，截至2020年12月31日，共完成食品抽检503批次，完成率为100.6%，合格样品485批次，不合格样品18批次，样品合格率96.42%。在预算控制方面实际支出未超过预算计划，成本控制合理。</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4、效益分析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该指标分值30分，评审得分28分，得分率为93.33%。产出效益情况较好。食品抽查等相关费用（含食品督查抽检费用、食品药品安全工作经费、县工业产品质量安全抽样检测和监管专项经费、农贸市场收益农产品快速检测工作项目经费）的支出起到以下方面的作用：</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经济效益：督促食品经营企业诚信经营，强化的净化产品食品，维护了食品经营行业的稳定，为始兴经济发展贡献力量。</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社会效益：对始兴县食品生产经营企业开展全面监督检查，切实保障始兴县民众食品药品质量安全。</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生态效益：推动食品产业形成守法、自理、合作的行业生态。</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可持续发展：本项目从解决人民群众普遍关心的突出问题入手，围绕涉及人民身体健康的食品安全性指标，开展食品药品监督抽查工作，为全力办好全县2021年十件民生实事，加快进度。主要问题是存在抽检力量不足，缺乏专业抽检人员，食品药品安全抽检人员队伍的专业性建设有待进一步提高。</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5、总体分析</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综合投入、过程、产出、效益四方面综合对项目资金使用进行比较分析，评价工作认为：总体上，项目在投入、产出方面表现较好，但在过程、效益存在一定的问题，本项目的主要问题是资金支出规范性存在一定的问题，会计核算未设专账核算，食品药品安全抽检人员队伍的专业性建设有待进一步提高。本项目最后评价得分为97分，等级为“优”。</w:t>
      </w:r>
    </w:p>
    <w:p>
      <w:pPr>
        <w:pStyle w:val="6"/>
        <w:numPr>
          <w:ilvl w:val="0"/>
          <w:numId w:val="1"/>
        </w:numPr>
        <w:spacing w:before="156" w:beforeLines="50" w:beforeAutospacing="0" w:after="156" w:afterLines="5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主要绩效</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2020年，始兴县高度重视开展食品药品安全工作，认落实组织领导责任，监督管理责任，能力提升责任，安全保障责任，食品药品安全监管能力和保障水平得到提升。</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（一）食品抽检任务超额完成。</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及时制定《2020年始兴县落实食品检验量“每千人5批次”工作实施方案》（始食安委办（2020）2号）和《2020年度食品抽检计划》，按照每千人5批次的要求，始兴县食品抽检任务为500批，截止2020年12月31日，始兴县共完成食品抽检503批次，完成率为100.6%，合格样品485批次，不合格样品18批次，样品合格率96.42%。</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（二）持续发力解决问题、保障食品药品的安全。</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t>1</w:t>
      </w:r>
      <w:r>
        <w:rPr>
          <w:rFonts w:hint="eastAsia" w:ascii="仿宋" w:hAnsi="仿宋" w:eastAsia="仿宋" w:cs="Times New Roman"/>
          <w:spacing w:val="5"/>
          <w:sz w:val="32"/>
          <w:szCs w:val="32"/>
        </w:rPr>
        <w:t>、药品抽检计划突出针对性和靶向性。</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从解决人民群众普遍关心的突出问题入手，围绕涉及人民身体健康的食品安全性指标，针对既往抽检合格率不高的食品品种、使用范围广、社会热点关注的品种，合理调配监管资源开展监督抽检，保障抽检工作发挥实效。</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t>2</w:t>
      </w:r>
      <w:r>
        <w:rPr>
          <w:rFonts w:hint="eastAsia" w:ascii="仿宋" w:hAnsi="仿宋" w:eastAsia="仿宋" w:cs="Times New Roman"/>
          <w:spacing w:val="5"/>
          <w:sz w:val="32"/>
          <w:szCs w:val="32"/>
        </w:rPr>
        <w:t>、针对在抽检过程中暴露的问题，提出整改意见甚至予以取缔。截止2020年12月31日，始兴县共完成食品抽检503批次，完成率为100.6%，合格样品485批次，不合格样品18批次，针对此次不合格产品和食品的问题点和问题企业实行行政处罚，提出整改意见甚至予以取缔，消除人民群众食品安全隐患。</w:t>
      </w:r>
    </w:p>
    <w:p>
      <w:pPr>
        <w:pStyle w:val="6"/>
        <w:numPr>
          <w:ilvl w:val="0"/>
          <w:numId w:val="1"/>
        </w:numPr>
        <w:spacing w:before="156" w:beforeLines="50" w:beforeAutospacing="0" w:after="156" w:afterLines="5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存在问题</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kern w:val="0"/>
          <w:sz w:val="32"/>
          <w:szCs w:val="32"/>
        </w:rPr>
        <w:t>始兴县市场监督管理局关于食品抽查等相关费用项目资金基本实现了绩效目标，但仍存在一定的问题和不足，主要是：</w:t>
      </w:r>
    </w:p>
    <w:p>
      <w:pPr>
        <w:widowControl/>
        <w:adjustRightInd w:val="0"/>
        <w:spacing w:line="560" w:lineRule="exact"/>
        <w:ind w:firstLine="660" w:firstLineChars="200"/>
        <w:jc w:val="left"/>
        <w:rPr>
          <w:rFonts w:ascii="仿宋" w:hAnsi="仿宋" w:eastAsia="仿宋"/>
          <w:spacing w:val="5"/>
          <w:sz w:val="32"/>
          <w:szCs w:val="32"/>
        </w:rPr>
      </w:pPr>
      <w:r>
        <w:rPr>
          <w:rFonts w:hint="eastAsia" w:ascii="仿宋" w:hAnsi="仿宋" w:eastAsia="仿宋"/>
          <w:spacing w:val="5"/>
          <w:sz w:val="32"/>
          <w:szCs w:val="32"/>
        </w:rPr>
        <w:t>（一）会计核算不规范。其中开展农贸市场收益农产品快速检测工作项目经费10万记账不规范，快检人员费用和快检费用记账未分别设置核算科目，不便快速统计快检人员费用和快检费用。</w:t>
      </w:r>
      <w:r>
        <w:rPr>
          <w:rFonts w:hint="eastAsia" w:ascii="仿宋" w:hAnsi="仿宋" w:eastAsia="仿宋"/>
          <w:spacing w:val="5"/>
          <w:kern w:val="0"/>
          <w:sz w:val="32"/>
          <w:szCs w:val="32"/>
        </w:rPr>
        <w:t>将问题与始兴县市场监督管理局沟通交流后，被评价单位回复并提供了明细账，开展农贸市场收益农产品快速检测工作项目经费对快检人员费用和快检费用分别设置核算科目，其中：农产品快检费用1.6986万元，农产品快检人员费用8.3014万元。</w:t>
      </w:r>
    </w:p>
    <w:p>
      <w:pPr>
        <w:widowControl/>
        <w:adjustRightInd w:val="0"/>
        <w:spacing w:line="560" w:lineRule="exact"/>
        <w:ind w:firstLine="660" w:firstLineChars="200"/>
        <w:jc w:val="left"/>
        <w:rPr>
          <w:rFonts w:ascii="仿宋" w:hAnsi="仿宋" w:eastAsia="仿宋"/>
          <w:spacing w:val="5"/>
          <w:kern w:val="0"/>
          <w:sz w:val="32"/>
          <w:szCs w:val="32"/>
        </w:rPr>
      </w:pPr>
      <w:r>
        <w:rPr>
          <w:rFonts w:hint="eastAsia" w:ascii="仿宋" w:hAnsi="仿宋" w:eastAsia="仿宋"/>
          <w:spacing w:val="5"/>
          <w:sz w:val="32"/>
          <w:szCs w:val="32"/>
        </w:rPr>
        <w:t>（二）抽检力量不足</w:t>
      </w:r>
      <w:r>
        <w:rPr>
          <w:rFonts w:hint="eastAsia" w:ascii="仿宋" w:hAnsi="仿宋" w:eastAsia="仿宋"/>
          <w:b/>
          <w:spacing w:val="5"/>
          <w:sz w:val="32"/>
          <w:szCs w:val="32"/>
        </w:rPr>
        <w:t>，</w:t>
      </w:r>
      <w:r>
        <w:rPr>
          <w:rFonts w:hint="eastAsia" w:ascii="仿宋" w:hAnsi="仿宋" w:eastAsia="仿宋"/>
          <w:spacing w:val="5"/>
          <w:kern w:val="0"/>
          <w:sz w:val="32"/>
          <w:szCs w:val="32"/>
        </w:rPr>
        <w:t>食品药品安全抽检人员队伍的专业性建设有待进一步提高。</w:t>
      </w:r>
    </w:p>
    <w:p>
      <w:pPr>
        <w:widowControl/>
        <w:adjustRightInd w:val="0"/>
        <w:spacing w:before="156" w:beforeLines="50" w:after="156" w:afterLines="50" w:line="560" w:lineRule="exact"/>
        <w:jc w:val="left"/>
        <w:rPr>
          <w:rFonts w:ascii="仿宋" w:hAnsi="仿宋" w:eastAsia="仿宋"/>
          <w:b/>
          <w:spacing w:val="5"/>
          <w:kern w:val="0"/>
          <w:sz w:val="32"/>
          <w:szCs w:val="32"/>
        </w:rPr>
      </w:pPr>
      <w:r>
        <w:rPr>
          <w:rFonts w:hint="eastAsia" w:ascii="仿宋" w:hAnsi="仿宋" w:eastAsia="仿宋"/>
          <w:b/>
          <w:spacing w:val="5"/>
          <w:kern w:val="0"/>
          <w:sz w:val="32"/>
          <w:szCs w:val="32"/>
        </w:rPr>
        <w:t>五、相关建议</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加强财政专项资金管理水平。通过加强会计人员培训，规范会计核算，提高专项资金管理水平，对于财政专项资金设立专账或设立专项科目进行核算。针对目前专项资金预算指标的性质，始兴县市场监督管理局财务人员在执行财政一体化支付的基础上，应严格按照专项资金管理办法设立专户核算，如实反映资金支付的实际情况，根据项目资金的类型和财政管理的要求确定核算项目及其内容，严格执行财务制度，必须专款专用，有迹可循。</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进一步强化监管人员的专业培训。加大基层执法人员进行监督抽检、日常监管等业务培训，不断提升抽检工作水平。同时尽量压缩和减少不必要的程序，提高工作效率，确保食品抽检工作的实效性和规范性。</w:t>
      </w:r>
    </w:p>
    <w:p>
      <w:pPr>
        <w:pStyle w:val="6"/>
        <w:spacing w:before="156" w:beforeLines="50" w:beforeAutospacing="0" w:after="156" w:afterLines="50" w:afterAutospacing="0" w:line="560" w:lineRule="exact"/>
        <w:rPr>
          <w:rFonts w:ascii="仿宋" w:hAnsi="仿宋" w:eastAsia="仿宋" w:cs="Times New Roman"/>
          <w:b/>
          <w:spacing w:val="5"/>
          <w:sz w:val="32"/>
          <w:szCs w:val="32"/>
        </w:rPr>
      </w:pPr>
      <w:r>
        <w:rPr>
          <w:rFonts w:hint="eastAsia" w:ascii="仿宋" w:hAnsi="仿宋" w:eastAsia="仿宋" w:cs="Times New Roman"/>
          <w:b/>
          <w:spacing w:val="5"/>
          <w:sz w:val="32"/>
          <w:szCs w:val="32"/>
        </w:rPr>
        <w:t>六、其他需要说明的问题</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（一）有关评价责任的说明</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始兴县市场监督管理局的责任是:提供与本次绩效评价相关的资料和数据，并对其真实性、准确性、完整性负责；</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 xml:space="preserve">中一事务所的责任是：在绩效评价工作中遵循绩效评价基本原则，采用科学的评价方法，实施合理的评价程序，保证评价结论的客观、公正。 </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（二）本次绩效评价的局限性</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1、由于时间关系，中一事务所采取抽样的方式核查，样本点绩效优劣直接关系到整体绩效综合评分。</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2、中一事务所的评价依据是被评价单位提供的资料和基础数据，其真实性、完整性、准确性受到资料提供方制约。</w:t>
      </w:r>
    </w:p>
    <w:p>
      <w:pPr>
        <w:pStyle w:val="6"/>
        <w:spacing w:before="0" w:beforeAutospacing="0" w:after="0" w:afterAutospacing="0" w:line="560" w:lineRule="exact"/>
        <w:ind w:firstLine="660" w:firstLineChars="200"/>
        <w:rPr>
          <w:rFonts w:ascii="仿宋" w:hAnsi="仿宋" w:eastAsia="仿宋" w:cs="Times New Roman"/>
          <w:spacing w:val="5"/>
          <w:sz w:val="32"/>
          <w:szCs w:val="32"/>
        </w:rPr>
      </w:pPr>
    </w:p>
    <w:p>
      <w:pPr>
        <w:pStyle w:val="6"/>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i/>
        <w:iCs/>
      </w:rP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eastAsiaTheme="minorEastAsia"/>
        <w:sz w:val="32"/>
        <w:szCs w:val="32"/>
      </w:rPr>
    </w:pPr>
    <w:r>
      <w:rPr>
        <w:rFonts w:asciiTheme="minorEastAsia" w:hAnsiTheme="minorEastAsia" w:eastAsiaTheme="minorEastAsia"/>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07258674"/>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207258674"/>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66D49"/>
    <w:multiLevelType w:val="multilevel"/>
    <w:tmpl w:val="3D466D49"/>
    <w:lvl w:ilvl="0" w:tentative="0">
      <w:start w:val="1"/>
      <w:numFmt w:val="japaneseCounting"/>
      <w:lvlText w:val="%1、"/>
      <w:lvlJc w:val="left"/>
      <w:pPr>
        <w:ind w:left="720" w:hanging="720"/>
      </w:pPr>
      <w:rPr>
        <w:rFonts w:hint="default" w:ascii="仿宋" w:hAnsi="仿宋" w:eastAsia="仿宋"/>
        <w:b/>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D3"/>
    <w:rsid w:val="00054569"/>
    <w:rsid w:val="00086C20"/>
    <w:rsid w:val="00092C27"/>
    <w:rsid w:val="000A7983"/>
    <w:rsid w:val="000B784B"/>
    <w:rsid w:val="000D76B9"/>
    <w:rsid w:val="001478C0"/>
    <w:rsid w:val="00150826"/>
    <w:rsid w:val="0015694A"/>
    <w:rsid w:val="001635DD"/>
    <w:rsid w:val="00182196"/>
    <w:rsid w:val="00187CD3"/>
    <w:rsid w:val="001C2429"/>
    <w:rsid w:val="00272DD3"/>
    <w:rsid w:val="002901DA"/>
    <w:rsid w:val="002A7BB3"/>
    <w:rsid w:val="002D3679"/>
    <w:rsid w:val="003A6FE2"/>
    <w:rsid w:val="003B2977"/>
    <w:rsid w:val="003E7A17"/>
    <w:rsid w:val="00496632"/>
    <w:rsid w:val="004B2124"/>
    <w:rsid w:val="004C6916"/>
    <w:rsid w:val="004E60AE"/>
    <w:rsid w:val="004E6AD8"/>
    <w:rsid w:val="00521498"/>
    <w:rsid w:val="00525662"/>
    <w:rsid w:val="00540D66"/>
    <w:rsid w:val="00560E95"/>
    <w:rsid w:val="005911D3"/>
    <w:rsid w:val="005A3F76"/>
    <w:rsid w:val="005A4FF2"/>
    <w:rsid w:val="005C597C"/>
    <w:rsid w:val="0064366D"/>
    <w:rsid w:val="00755F49"/>
    <w:rsid w:val="007A2ED2"/>
    <w:rsid w:val="007B32EE"/>
    <w:rsid w:val="007B45E0"/>
    <w:rsid w:val="007D18C1"/>
    <w:rsid w:val="007F1DA8"/>
    <w:rsid w:val="007F301A"/>
    <w:rsid w:val="00820B94"/>
    <w:rsid w:val="008C484F"/>
    <w:rsid w:val="008E6670"/>
    <w:rsid w:val="008E7D69"/>
    <w:rsid w:val="00920CFD"/>
    <w:rsid w:val="00924555"/>
    <w:rsid w:val="0094131F"/>
    <w:rsid w:val="009B32C8"/>
    <w:rsid w:val="009D49C8"/>
    <w:rsid w:val="00A76DFD"/>
    <w:rsid w:val="00AC2849"/>
    <w:rsid w:val="00AD4885"/>
    <w:rsid w:val="00B05CFC"/>
    <w:rsid w:val="00B81ED4"/>
    <w:rsid w:val="00B843C5"/>
    <w:rsid w:val="00BA3497"/>
    <w:rsid w:val="00BD6782"/>
    <w:rsid w:val="00BE77D7"/>
    <w:rsid w:val="00C01EA9"/>
    <w:rsid w:val="00C028E9"/>
    <w:rsid w:val="00C408F8"/>
    <w:rsid w:val="00C50C65"/>
    <w:rsid w:val="00C87631"/>
    <w:rsid w:val="00CA172D"/>
    <w:rsid w:val="00CA293D"/>
    <w:rsid w:val="00D24DA9"/>
    <w:rsid w:val="00D751F3"/>
    <w:rsid w:val="00DB2B0A"/>
    <w:rsid w:val="00DD3BF3"/>
    <w:rsid w:val="00DD4C46"/>
    <w:rsid w:val="00DD4E17"/>
    <w:rsid w:val="00E05210"/>
    <w:rsid w:val="00E26AC1"/>
    <w:rsid w:val="00E5361A"/>
    <w:rsid w:val="00E62B16"/>
    <w:rsid w:val="00E67A40"/>
    <w:rsid w:val="00E83836"/>
    <w:rsid w:val="00EA1CFD"/>
    <w:rsid w:val="00EA6D3F"/>
    <w:rsid w:val="00ED2CFB"/>
    <w:rsid w:val="00ED3228"/>
    <w:rsid w:val="00EE5E3E"/>
    <w:rsid w:val="00F31CB5"/>
    <w:rsid w:val="00F67DDC"/>
    <w:rsid w:val="00F83B3C"/>
    <w:rsid w:val="00F94C3D"/>
    <w:rsid w:val="00FD53F6"/>
    <w:rsid w:val="34D60FE6"/>
    <w:rsid w:val="5A99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0"/>
    <w:pPr>
      <w:keepNext/>
      <w:keepLines/>
      <w:spacing w:line="578" w:lineRule="auto"/>
      <w:jc w:val="center"/>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rFonts w:ascii="Times New Roman" w:hAnsi="Times New Roman" w:eastAsia="宋体" w:cs="Times New Roman"/>
      <w:sz w:val="18"/>
      <w:szCs w:val="18"/>
    </w:rPr>
  </w:style>
  <w:style w:type="character" w:customStyle="1" w:styleId="12">
    <w:name w:val="页脚 Char"/>
    <w:basedOn w:val="9"/>
    <w:link w:val="4"/>
    <w:uiPriority w:val="99"/>
    <w:rPr>
      <w:rFonts w:ascii="Times New Roman" w:hAnsi="Times New Roman" w:eastAsia="宋体" w:cs="Times New Roman"/>
      <w:sz w:val="18"/>
      <w:szCs w:val="18"/>
    </w:rPr>
  </w:style>
  <w:style w:type="character" w:customStyle="1" w:styleId="13">
    <w:name w:val="批注框文本 Char"/>
    <w:basedOn w:val="9"/>
    <w:link w:val="3"/>
    <w:semiHidden/>
    <w:uiPriority w:val="99"/>
    <w:rPr>
      <w:rFonts w:ascii="Times New Roman" w:hAnsi="Times New Roman" w:eastAsia="宋体" w:cs="Times New Roman"/>
      <w:sz w:val="18"/>
      <w:szCs w:val="18"/>
    </w:rPr>
  </w:style>
  <w:style w:type="character" w:customStyle="1" w:styleId="14">
    <w:name w:val="标题 1 Char"/>
    <w:basedOn w:val="9"/>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ky</Company>
  <Pages>11</Pages>
  <Words>654</Words>
  <Characters>3733</Characters>
  <Lines>31</Lines>
  <Paragraphs>8</Paragraphs>
  <TotalTime>57</TotalTime>
  <ScaleCrop>false</ScaleCrop>
  <LinksUpToDate>false</LinksUpToDate>
  <CharactersWithSpaces>4379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2021-11-09T08:03:00Z</dcterms:created>
  <dc:creator>Administrator</dc:creator>
  <cp:lastModifiedBy>Administrator</cp:lastModifiedBy>
  <cp:lastPrinted>2021-12-23T09:35:00Z</cp:lastPrinted>
  <dcterms:modified xsi:type="dcterms:W3CDTF">2021-12-30T01:06:36Z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3CE56F5434F9498093705B8FC8601D34</vt:lpwstr>
  </property>
</Properties>
</file>